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96" w:rsidRPr="00BE0B3B" w:rsidRDefault="00780D96" w:rsidP="00780D96">
      <w:pPr>
        <w:jc w:val="center"/>
      </w:pPr>
      <w:r w:rsidRPr="00BE0B3B">
        <w:t>MINUTES</w:t>
      </w:r>
    </w:p>
    <w:p w:rsidR="00780D96" w:rsidRPr="00BE0B3B" w:rsidRDefault="00780D96" w:rsidP="00780D96"/>
    <w:p w:rsidR="00780D96" w:rsidRPr="00BE0B3B" w:rsidRDefault="00780D96" w:rsidP="00780D96">
      <w:pPr>
        <w:jc w:val="center"/>
      </w:pPr>
      <w:r w:rsidRPr="00BE0B3B">
        <w:t>Hawai`i Civil Rights Commission Office</w:t>
      </w:r>
    </w:p>
    <w:p w:rsidR="00780D96" w:rsidRPr="00BE0B3B" w:rsidRDefault="00C53CD9" w:rsidP="00780D96">
      <w:pPr>
        <w:pStyle w:val="Heading1"/>
        <w:spacing w:before="0"/>
        <w:jc w:val="center"/>
        <w:rPr>
          <w:i w:val="0"/>
          <w:szCs w:val="24"/>
        </w:rPr>
      </w:pPr>
      <w:r>
        <w:rPr>
          <w:i w:val="0"/>
          <w:szCs w:val="24"/>
        </w:rPr>
        <w:t>September 13</w:t>
      </w:r>
      <w:r w:rsidR="00402369" w:rsidRPr="00BE0B3B">
        <w:rPr>
          <w:i w:val="0"/>
          <w:szCs w:val="24"/>
        </w:rPr>
        <w:t>, 2019</w:t>
      </w:r>
    </w:p>
    <w:p w:rsidR="00780D96" w:rsidRPr="00BE0B3B" w:rsidRDefault="00820166" w:rsidP="00780D96">
      <w:pPr>
        <w:pStyle w:val="BodyText"/>
        <w:spacing w:before="0"/>
        <w:jc w:val="center"/>
        <w:rPr>
          <w:color w:val="auto"/>
          <w:szCs w:val="24"/>
        </w:rPr>
      </w:pPr>
      <w:r>
        <w:rPr>
          <w:color w:val="auto"/>
          <w:szCs w:val="24"/>
        </w:rPr>
        <w:t>1</w:t>
      </w:r>
      <w:r w:rsidR="0052492A">
        <w:rPr>
          <w:color w:val="auto"/>
          <w:szCs w:val="24"/>
        </w:rPr>
        <w:t>2</w:t>
      </w:r>
      <w:r>
        <w:rPr>
          <w:color w:val="auto"/>
          <w:szCs w:val="24"/>
        </w:rPr>
        <w:t>:</w:t>
      </w:r>
      <w:r w:rsidR="00E72738">
        <w:rPr>
          <w:color w:val="auto"/>
          <w:szCs w:val="24"/>
        </w:rPr>
        <w:t>0</w:t>
      </w:r>
      <w:r>
        <w:rPr>
          <w:color w:val="auto"/>
          <w:szCs w:val="24"/>
        </w:rPr>
        <w:t>0</w:t>
      </w:r>
      <w:r w:rsidR="00780D96" w:rsidRPr="00BE0B3B">
        <w:rPr>
          <w:color w:val="auto"/>
          <w:szCs w:val="24"/>
        </w:rPr>
        <w:t xml:space="preserve"> </w:t>
      </w:r>
      <w:r w:rsidR="00E72738">
        <w:rPr>
          <w:color w:val="auto"/>
          <w:szCs w:val="24"/>
        </w:rPr>
        <w:t>p</w:t>
      </w:r>
      <w:r w:rsidR="00780D96" w:rsidRPr="00BE0B3B">
        <w:rPr>
          <w:color w:val="auto"/>
          <w:szCs w:val="24"/>
        </w:rPr>
        <w:t>.m.</w:t>
      </w:r>
    </w:p>
    <w:p w:rsidR="00780D96" w:rsidRPr="003E23F0" w:rsidRDefault="00780D96" w:rsidP="00780D96">
      <w:pPr>
        <w:pStyle w:val="BodyTextIndent"/>
        <w:ind w:left="0" w:firstLine="0"/>
        <w:rPr>
          <w:color w:val="auto"/>
          <w:szCs w:val="24"/>
        </w:rPr>
      </w:pPr>
    </w:p>
    <w:p w:rsidR="00B3646A" w:rsidRPr="003E23F0" w:rsidRDefault="00793ECD" w:rsidP="00B3646A">
      <w:pPr>
        <w:pStyle w:val="BodyTextIndent"/>
        <w:rPr>
          <w:color w:val="auto"/>
          <w:szCs w:val="24"/>
        </w:rPr>
      </w:pPr>
      <w:r w:rsidRPr="003E23F0">
        <w:rPr>
          <w:color w:val="auto"/>
          <w:szCs w:val="24"/>
        </w:rPr>
        <w:t>Present:</w:t>
      </w:r>
      <w:r w:rsidRPr="003E23F0">
        <w:rPr>
          <w:color w:val="auto"/>
          <w:szCs w:val="24"/>
        </w:rPr>
        <w:tab/>
      </w:r>
      <w:r w:rsidR="003F6CE4" w:rsidRPr="003E23F0">
        <w:rPr>
          <w:color w:val="auto"/>
          <w:szCs w:val="24"/>
        </w:rPr>
        <w:t>Liann Ebesugawa,</w:t>
      </w:r>
      <w:r w:rsidR="00BE0B3B" w:rsidRPr="003E23F0">
        <w:rPr>
          <w:color w:val="auto"/>
          <w:szCs w:val="24"/>
        </w:rPr>
        <w:t xml:space="preserve"> </w:t>
      </w:r>
      <w:r w:rsidR="00402369" w:rsidRPr="003E23F0">
        <w:rPr>
          <w:color w:val="auto"/>
          <w:szCs w:val="24"/>
        </w:rPr>
        <w:t>Joan Lewis</w:t>
      </w:r>
      <w:r w:rsidR="003F6CE4" w:rsidRPr="003E23F0">
        <w:rPr>
          <w:color w:val="auto"/>
          <w:szCs w:val="24"/>
        </w:rPr>
        <w:t xml:space="preserve">, </w:t>
      </w:r>
      <w:r w:rsidR="00EC6B69">
        <w:rPr>
          <w:color w:val="auto"/>
          <w:szCs w:val="24"/>
        </w:rPr>
        <w:t>and</w:t>
      </w:r>
      <w:r w:rsidR="00EC6B69" w:rsidRPr="003E23F0">
        <w:rPr>
          <w:color w:val="auto"/>
          <w:szCs w:val="24"/>
        </w:rPr>
        <w:t xml:space="preserve"> </w:t>
      </w:r>
      <w:r w:rsidR="003E23F0" w:rsidRPr="003E23F0">
        <w:rPr>
          <w:color w:val="auto"/>
          <w:szCs w:val="24"/>
        </w:rPr>
        <w:t>William Puette</w:t>
      </w:r>
      <w:r w:rsidR="00E72738">
        <w:rPr>
          <w:color w:val="auto"/>
          <w:szCs w:val="24"/>
        </w:rPr>
        <w:t xml:space="preserve">, </w:t>
      </w:r>
      <w:r w:rsidR="00B3646A" w:rsidRPr="003E23F0">
        <w:rPr>
          <w:color w:val="auto"/>
          <w:szCs w:val="24"/>
        </w:rPr>
        <w:t xml:space="preserve">Commissioners; </w:t>
      </w:r>
      <w:r w:rsidR="00C57607" w:rsidRPr="003E23F0">
        <w:rPr>
          <w:color w:val="auto"/>
          <w:szCs w:val="24"/>
        </w:rPr>
        <w:t>Robin Wurtzel</w:t>
      </w:r>
      <w:r w:rsidR="00216708" w:rsidRPr="003E23F0">
        <w:rPr>
          <w:color w:val="auto"/>
          <w:szCs w:val="24"/>
        </w:rPr>
        <w:t xml:space="preserve">, </w:t>
      </w:r>
      <w:r w:rsidR="00B3646A" w:rsidRPr="003E23F0">
        <w:rPr>
          <w:color w:val="auto"/>
          <w:szCs w:val="24"/>
        </w:rPr>
        <w:t xml:space="preserve">Bill </w:t>
      </w:r>
      <w:proofErr w:type="spellStart"/>
      <w:r w:rsidR="00B3646A" w:rsidRPr="003E23F0">
        <w:rPr>
          <w:color w:val="auto"/>
          <w:szCs w:val="24"/>
        </w:rPr>
        <w:t>Hoshi</w:t>
      </w:r>
      <w:r w:rsidR="00F10008" w:rsidRPr="003E23F0">
        <w:rPr>
          <w:color w:val="auto"/>
          <w:szCs w:val="24"/>
        </w:rPr>
        <w:t>jo</w:t>
      </w:r>
      <w:proofErr w:type="spellEnd"/>
      <w:r w:rsidR="00F10008" w:rsidRPr="003E23F0">
        <w:rPr>
          <w:color w:val="auto"/>
          <w:szCs w:val="24"/>
        </w:rPr>
        <w:t>,</w:t>
      </w:r>
      <w:r w:rsidR="00F8072F" w:rsidRPr="003E23F0">
        <w:rPr>
          <w:color w:val="auto"/>
          <w:szCs w:val="24"/>
        </w:rPr>
        <w:t xml:space="preserve"> </w:t>
      </w:r>
      <w:r w:rsidR="002849E6" w:rsidRPr="003E23F0">
        <w:rPr>
          <w:color w:val="auto"/>
          <w:szCs w:val="24"/>
        </w:rPr>
        <w:t xml:space="preserve">Marcus </w:t>
      </w:r>
      <w:proofErr w:type="spellStart"/>
      <w:r w:rsidR="002849E6" w:rsidRPr="003E23F0">
        <w:rPr>
          <w:color w:val="auto"/>
          <w:szCs w:val="24"/>
        </w:rPr>
        <w:t>Kawatachi</w:t>
      </w:r>
      <w:proofErr w:type="spellEnd"/>
      <w:r w:rsidR="002849E6" w:rsidRPr="003E23F0">
        <w:rPr>
          <w:color w:val="auto"/>
          <w:szCs w:val="24"/>
        </w:rPr>
        <w:t xml:space="preserve">, </w:t>
      </w:r>
      <w:r w:rsidR="00F10008" w:rsidRPr="003E23F0">
        <w:rPr>
          <w:color w:val="auto"/>
          <w:szCs w:val="24"/>
        </w:rPr>
        <w:t>S</w:t>
      </w:r>
      <w:r w:rsidR="002849E6" w:rsidRPr="003E23F0">
        <w:rPr>
          <w:color w:val="auto"/>
          <w:szCs w:val="24"/>
        </w:rPr>
        <w:t>taff</w:t>
      </w:r>
      <w:r w:rsidR="00EC6B69">
        <w:rPr>
          <w:color w:val="auto"/>
          <w:szCs w:val="24"/>
        </w:rPr>
        <w:t>;</w:t>
      </w:r>
      <w:r w:rsidR="00EC6B69" w:rsidRPr="00EC6B69">
        <w:rPr>
          <w:color w:val="auto"/>
          <w:szCs w:val="24"/>
        </w:rPr>
        <w:t xml:space="preserve"> </w:t>
      </w:r>
      <w:r w:rsidR="00EC6B69">
        <w:rPr>
          <w:color w:val="auto"/>
          <w:szCs w:val="24"/>
        </w:rPr>
        <w:t>Robert Perry</w:t>
      </w:r>
      <w:r w:rsidR="00EC6B69" w:rsidRPr="00EC6B69">
        <w:rPr>
          <w:color w:val="auto"/>
          <w:szCs w:val="24"/>
        </w:rPr>
        <w:t>, Guest</w:t>
      </w:r>
      <w:r w:rsidR="00F10008" w:rsidRPr="003E23F0">
        <w:rPr>
          <w:color w:val="auto"/>
          <w:szCs w:val="24"/>
        </w:rPr>
        <w:t>.</w:t>
      </w:r>
    </w:p>
    <w:p w:rsidR="00444902" w:rsidRPr="003E23F0" w:rsidRDefault="00444902" w:rsidP="00B3646A">
      <w:pPr>
        <w:pStyle w:val="BodyTextIndent"/>
        <w:rPr>
          <w:color w:val="auto"/>
          <w:szCs w:val="24"/>
        </w:rPr>
      </w:pPr>
    </w:p>
    <w:p w:rsidR="0052492A" w:rsidRDefault="0052492A" w:rsidP="0052492A">
      <w:pPr>
        <w:pStyle w:val="BodyTextIndent"/>
        <w:rPr>
          <w:color w:val="auto"/>
          <w:szCs w:val="24"/>
        </w:rPr>
      </w:pPr>
      <w:r>
        <w:rPr>
          <w:color w:val="auto"/>
          <w:szCs w:val="24"/>
        </w:rPr>
        <w:t>Excused:</w:t>
      </w:r>
      <w:r>
        <w:rPr>
          <w:color w:val="auto"/>
          <w:szCs w:val="24"/>
        </w:rPr>
        <w:tab/>
      </w:r>
      <w:r w:rsidRPr="0052492A">
        <w:rPr>
          <w:color w:val="auto"/>
          <w:szCs w:val="24"/>
        </w:rPr>
        <w:t>Jon Matsuoka</w:t>
      </w:r>
      <w:r>
        <w:rPr>
          <w:color w:val="auto"/>
          <w:szCs w:val="24"/>
        </w:rPr>
        <w:t>, Commissioner.</w:t>
      </w:r>
    </w:p>
    <w:p w:rsidR="0052492A" w:rsidRDefault="0052492A" w:rsidP="00EC740A">
      <w:pPr>
        <w:pStyle w:val="Heading5"/>
        <w:spacing w:before="0"/>
        <w:rPr>
          <w:color w:val="auto"/>
          <w:szCs w:val="24"/>
          <w:u w:val="none"/>
        </w:rPr>
      </w:pPr>
    </w:p>
    <w:p w:rsidR="00EC740A" w:rsidRPr="003E23F0" w:rsidRDefault="00B3646A" w:rsidP="00EC740A">
      <w:pPr>
        <w:pStyle w:val="Heading5"/>
        <w:spacing w:before="0"/>
        <w:rPr>
          <w:color w:val="auto"/>
          <w:szCs w:val="24"/>
          <w:u w:val="none"/>
        </w:rPr>
      </w:pPr>
      <w:r w:rsidRPr="003E23F0">
        <w:rPr>
          <w:color w:val="auto"/>
          <w:szCs w:val="24"/>
          <w:u w:val="none"/>
        </w:rPr>
        <w:t xml:space="preserve">Chair </w:t>
      </w:r>
      <w:r w:rsidR="00E72738" w:rsidRPr="00E72738">
        <w:rPr>
          <w:color w:val="auto"/>
          <w:szCs w:val="24"/>
          <w:u w:val="none"/>
        </w:rPr>
        <w:t xml:space="preserve">Liann Ebesugawa </w:t>
      </w:r>
      <w:r w:rsidR="00990F6A" w:rsidRPr="003E23F0">
        <w:rPr>
          <w:color w:val="auto"/>
          <w:szCs w:val="24"/>
          <w:u w:val="none"/>
        </w:rPr>
        <w:t xml:space="preserve">called the </w:t>
      </w:r>
      <w:r w:rsidR="00EC740A" w:rsidRPr="003E23F0">
        <w:rPr>
          <w:color w:val="auto"/>
          <w:szCs w:val="24"/>
          <w:u w:val="none"/>
        </w:rPr>
        <w:t>meeting to order.</w:t>
      </w:r>
    </w:p>
    <w:p w:rsidR="00C94EA7" w:rsidRPr="008B08DB" w:rsidRDefault="00C94EA7" w:rsidP="00C94EA7"/>
    <w:p w:rsidR="00EC740A" w:rsidRPr="008B08DB" w:rsidRDefault="00EC740A" w:rsidP="00EC740A">
      <w:pPr>
        <w:pStyle w:val="BodyText2"/>
        <w:rPr>
          <w:b/>
          <w:szCs w:val="24"/>
          <w:u w:val="single"/>
        </w:rPr>
      </w:pPr>
      <w:r w:rsidRPr="008B08DB">
        <w:rPr>
          <w:b/>
          <w:szCs w:val="24"/>
          <w:u w:val="single"/>
        </w:rPr>
        <w:t>Approval of Minutes</w:t>
      </w:r>
    </w:p>
    <w:p w:rsidR="00FE1257" w:rsidRPr="008B08DB" w:rsidRDefault="00FE1257" w:rsidP="00EC740A">
      <w:pPr>
        <w:pStyle w:val="BodyText2"/>
        <w:rPr>
          <w:b/>
          <w:szCs w:val="24"/>
        </w:rPr>
      </w:pPr>
      <w:r w:rsidRPr="008B08DB">
        <w:rPr>
          <w:b/>
          <w:szCs w:val="24"/>
        </w:rPr>
        <w:t xml:space="preserve">The Commissioners reviewed the draft minutes of the </w:t>
      </w:r>
      <w:r w:rsidR="000909F2">
        <w:rPr>
          <w:b/>
          <w:szCs w:val="24"/>
        </w:rPr>
        <w:t>July 19</w:t>
      </w:r>
      <w:r w:rsidR="006430F4" w:rsidRPr="008B08DB">
        <w:rPr>
          <w:b/>
          <w:szCs w:val="24"/>
        </w:rPr>
        <w:t>, 201</w:t>
      </w:r>
      <w:r w:rsidR="00492006" w:rsidRPr="008B08DB">
        <w:rPr>
          <w:b/>
          <w:szCs w:val="24"/>
        </w:rPr>
        <w:t>9</w:t>
      </w:r>
      <w:r w:rsidR="006430F4" w:rsidRPr="008B08DB">
        <w:rPr>
          <w:b/>
          <w:szCs w:val="24"/>
        </w:rPr>
        <w:t xml:space="preserve">, meeting.  </w:t>
      </w:r>
      <w:r w:rsidR="00C074A7" w:rsidRPr="008B08DB">
        <w:rPr>
          <w:b/>
          <w:szCs w:val="24"/>
        </w:rPr>
        <w:t>T</w:t>
      </w:r>
      <w:r w:rsidR="00C3188A" w:rsidRPr="008B08DB">
        <w:rPr>
          <w:b/>
          <w:szCs w:val="24"/>
        </w:rPr>
        <w:t>he minutes were approved.</w:t>
      </w:r>
    </w:p>
    <w:p w:rsidR="008B08DB" w:rsidRPr="008F6EEF" w:rsidRDefault="008B08DB" w:rsidP="00A23F81">
      <w:pPr>
        <w:pStyle w:val="BodyText2"/>
        <w:spacing w:before="0"/>
        <w:jc w:val="left"/>
        <w:rPr>
          <w:b/>
          <w:szCs w:val="24"/>
          <w:u w:val="single"/>
        </w:rPr>
      </w:pPr>
    </w:p>
    <w:p w:rsidR="007879D4" w:rsidRPr="008F6EEF" w:rsidRDefault="008F6EEF" w:rsidP="007879D4">
      <w:pPr>
        <w:pStyle w:val="BodyText2"/>
        <w:rPr>
          <w:b/>
          <w:szCs w:val="24"/>
          <w:u w:val="single"/>
        </w:rPr>
      </w:pPr>
      <w:r w:rsidRPr="008F6EEF">
        <w:rPr>
          <w:b/>
          <w:szCs w:val="24"/>
          <w:u w:val="single"/>
        </w:rPr>
        <w:t xml:space="preserve">Introduction of </w:t>
      </w:r>
      <w:r w:rsidR="00EC6B69">
        <w:rPr>
          <w:b/>
          <w:szCs w:val="24"/>
          <w:u w:val="single"/>
        </w:rPr>
        <w:t>HCRC Mediation Program Specialist</w:t>
      </w:r>
    </w:p>
    <w:p w:rsidR="007879D4" w:rsidRPr="00EC6B69" w:rsidRDefault="00EC6B69" w:rsidP="007879D4">
      <w:pPr>
        <w:pStyle w:val="BodyText2"/>
        <w:rPr>
          <w:szCs w:val="24"/>
        </w:rPr>
      </w:pPr>
      <w:r w:rsidRPr="00EC6B69">
        <w:rPr>
          <w:szCs w:val="24"/>
        </w:rPr>
        <w:t>HCRC Mediation Program Specialist</w:t>
      </w:r>
      <w:r>
        <w:rPr>
          <w:szCs w:val="24"/>
        </w:rPr>
        <w:t xml:space="preserve"> (MPS) Sharon Ferguson-Quick was introduced to the Commissioners.  MPS Ferguson-Quick would be coordinating the planning for a November Public Training.</w:t>
      </w:r>
    </w:p>
    <w:p w:rsidR="00EC6B69" w:rsidRPr="008D6C1D" w:rsidRDefault="00EC6B69" w:rsidP="007879D4">
      <w:pPr>
        <w:pStyle w:val="BodyText2"/>
        <w:rPr>
          <w:szCs w:val="24"/>
        </w:rPr>
      </w:pPr>
    </w:p>
    <w:p w:rsidR="00E3156A" w:rsidRPr="008D6C1D" w:rsidRDefault="00686EE8" w:rsidP="007879D4">
      <w:pPr>
        <w:pStyle w:val="BodyText2"/>
        <w:rPr>
          <w:b/>
          <w:szCs w:val="24"/>
          <w:u w:val="single"/>
        </w:rPr>
      </w:pPr>
      <w:r w:rsidRPr="008D6C1D">
        <w:rPr>
          <w:b/>
          <w:szCs w:val="24"/>
          <w:u w:val="single"/>
        </w:rPr>
        <w:t>Chair’s Report</w:t>
      </w:r>
    </w:p>
    <w:p w:rsidR="00702D88" w:rsidRPr="008D6C1D" w:rsidRDefault="00702D88" w:rsidP="00702D88"/>
    <w:p w:rsidR="001D47B5" w:rsidRPr="008D6C1D" w:rsidRDefault="00702D88" w:rsidP="00702D88">
      <w:r w:rsidRPr="008D6C1D">
        <w:t xml:space="preserve">Chair Ebesugawa reported that she had attended the International Association of Official Human Rights Organizations (IAOHRA) 2019 Conference, </w:t>
      </w:r>
      <w:r w:rsidR="00686EE8" w:rsidRPr="008D6C1D">
        <w:t>held August 18-22 in Orlando, Florida. The conference audience included 150-200 participants from state and local civil rights and human rights agen</w:t>
      </w:r>
      <w:r w:rsidR="001D47B5" w:rsidRPr="008D6C1D">
        <w:t>cies.</w:t>
      </w:r>
    </w:p>
    <w:p w:rsidR="001D47B5" w:rsidRPr="008D6C1D" w:rsidRDefault="001D47B5" w:rsidP="00702D88"/>
    <w:p w:rsidR="001D47B5" w:rsidRPr="008D6C1D" w:rsidRDefault="001D47B5" w:rsidP="00702D88">
      <w:pPr>
        <w:rPr>
          <w:lang w:val="en"/>
        </w:rPr>
      </w:pPr>
      <w:r w:rsidRPr="008D6C1D">
        <w:t xml:space="preserve">Conference participants were introduced to the civil rights history of Central Florida.  Highlights included visits to the Pulse Nightclub Memorial, at the site of the horrible 2016 mass shooting </w:t>
      </w:r>
      <w:proofErr w:type="gramStart"/>
      <w:r w:rsidRPr="008D6C1D">
        <w:t>attack</w:t>
      </w:r>
      <w:proofErr w:type="gramEnd"/>
      <w:r w:rsidRPr="008D6C1D">
        <w:t xml:space="preserve">, and the </w:t>
      </w:r>
      <w:r w:rsidRPr="008D6C1D">
        <w:rPr>
          <w:lang w:val="en"/>
        </w:rPr>
        <w:t>Harry T. &amp; Harriette V. Moore Cultural Park &amp; Museum, dedicated to civil rights giants who were slain in a 1951 bombing.</w:t>
      </w:r>
    </w:p>
    <w:p w:rsidR="001D47B5" w:rsidRPr="008D6C1D" w:rsidRDefault="001D47B5" w:rsidP="00702D88">
      <w:pPr>
        <w:rPr>
          <w:lang w:val="en"/>
        </w:rPr>
      </w:pPr>
    </w:p>
    <w:p w:rsidR="008D6C1D" w:rsidRPr="008D6C1D" w:rsidRDefault="0074499B" w:rsidP="00702D88">
      <w:pPr>
        <w:rPr>
          <w:lang w:val="en"/>
        </w:rPr>
      </w:pPr>
      <w:r w:rsidRPr="008D6C1D">
        <w:rPr>
          <w:lang w:val="en"/>
        </w:rPr>
        <w:t>Chair Ebesugawa reported that the conference program was inspirational and meaningful, including:  a presentation by Leilani Farha, United Nation’s Special Rapporteur on Right to Adequate Housing, on the need to shift from viewing housing as a commodity to housing as a human right/social good; civil rights legal updates; and a presentation on implicit bias, race and equity, by Dr. Bryant Marks</w:t>
      </w:r>
      <w:proofErr w:type="gramStart"/>
      <w:r w:rsidR="008D6C1D" w:rsidRPr="008D6C1D">
        <w:rPr>
          <w:lang w:val="en"/>
        </w:rPr>
        <w:t xml:space="preserve">, </w:t>
      </w:r>
      <w:r w:rsidRPr="008D6C1D">
        <w:rPr>
          <w:lang w:val="en"/>
        </w:rPr>
        <w:t xml:space="preserve"> </w:t>
      </w:r>
      <w:r w:rsidR="008D6C1D" w:rsidRPr="008D6C1D">
        <w:rPr>
          <w:lang w:val="en"/>
        </w:rPr>
        <w:t>Founding</w:t>
      </w:r>
      <w:proofErr w:type="gramEnd"/>
      <w:r w:rsidR="008D6C1D" w:rsidRPr="008D6C1D">
        <w:rPr>
          <w:lang w:val="en"/>
        </w:rPr>
        <w:t xml:space="preserve"> Director and Principal Trainer, The Nat'l Training </w:t>
      </w:r>
      <w:r w:rsidR="008D6C1D" w:rsidRPr="008D6C1D">
        <w:rPr>
          <w:lang w:val="en"/>
        </w:rPr>
        <w:lastRenderedPageBreak/>
        <w:t>Institute on Race &amp; Equity.</w:t>
      </w:r>
    </w:p>
    <w:p w:rsidR="008D6C1D" w:rsidRPr="008D6C1D" w:rsidRDefault="008D6C1D" w:rsidP="00702D88">
      <w:pPr>
        <w:rPr>
          <w:lang w:val="en"/>
        </w:rPr>
      </w:pPr>
    </w:p>
    <w:p w:rsidR="008D6C1D" w:rsidRPr="008D6C1D" w:rsidRDefault="008D6C1D" w:rsidP="00702D88">
      <w:pPr>
        <w:rPr>
          <w:lang w:val="en"/>
        </w:rPr>
      </w:pPr>
      <w:r w:rsidRPr="008D6C1D">
        <w:rPr>
          <w:lang w:val="en"/>
        </w:rPr>
        <w:t>Chair Ebesugawa recommended that the HCRC consider working in partnership with other state and community entities to bring Dr. Marks to Hawaiʻi to do several trainings.</w:t>
      </w:r>
    </w:p>
    <w:p w:rsidR="008D6C1D" w:rsidRPr="008D6C1D" w:rsidRDefault="008D6C1D" w:rsidP="00702D88">
      <w:pPr>
        <w:rPr>
          <w:lang w:val="en"/>
        </w:rPr>
      </w:pPr>
    </w:p>
    <w:p w:rsidR="00750DC2" w:rsidRDefault="008D6C1D" w:rsidP="00702D88">
      <w:r w:rsidRPr="008D6C1D">
        <w:rPr>
          <w:lang w:val="en"/>
        </w:rPr>
        <w:t>She also recommended that the HCRC send several staff and commissioners to the 2020 IAOHRA Conference, scheduled to be held in Los Angeles.</w:t>
      </w:r>
    </w:p>
    <w:p w:rsidR="00702D88" w:rsidRPr="008D6C1D" w:rsidRDefault="00750DC2" w:rsidP="00702D88">
      <w:r w:rsidRPr="008D6C1D">
        <w:t xml:space="preserve"> </w:t>
      </w:r>
    </w:p>
    <w:p w:rsidR="00A23F81" w:rsidRPr="00D95361" w:rsidRDefault="00A23F81" w:rsidP="00A23F81">
      <w:pPr>
        <w:pStyle w:val="BodyText2"/>
        <w:spacing w:before="0"/>
        <w:jc w:val="left"/>
        <w:rPr>
          <w:b/>
          <w:szCs w:val="24"/>
          <w:u w:val="single"/>
        </w:rPr>
      </w:pPr>
      <w:r w:rsidRPr="00D95361">
        <w:rPr>
          <w:b/>
          <w:szCs w:val="24"/>
          <w:u w:val="single"/>
        </w:rPr>
        <w:t>Executive Director’s Report</w:t>
      </w:r>
    </w:p>
    <w:p w:rsidR="00A23F81" w:rsidRPr="00D95361" w:rsidRDefault="00A23F81" w:rsidP="00A23F81">
      <w:pPr>
        <w:pStyle w:val="BodyText2"/>
        <w:spacing w:before="0"/>
        <w:jc w:val="left"/>
        <w:rPr>
          <w:b/>
          <w:szCs w:val="24"/>
          <w:u w:val="single"/>
        </w:rPr>
      </w:pPr>
    </w:p>
    <w:p w:rsidR="00D22EF9" w:rsidRPr="009A29ED" w:rsidRDefault="003F7AD1" w:rsidP="00D22EF9">
      <w:pPr>
        <w:pStyle w:val="BodyText2"/>
        <w:spacing w:before="0"/>
        <w:jc w:val="left"/>
        <w:rPr>
          <w:b/>
          <w:szCs w:val="24"/>
          <w:u w:val="single"/>
        </w:rPr>
      </w:pPr>
      <w:r w:rsidRPr="00D95361">
        <w:rPr>
          <w:szCs w:val="24"/>
        </w:rPr>
        <w:t xml:space="preserve">Deputy Executive Director (DED) Marcus </w:t>
      </w:r>
      <w:proofErr w:type="spellStart"/>
      <w:r w:rsidRPr="00D95361">
        <w:rPr>
          <w:szCs w:val="24"/>
        </w:rPr>
        <w:t>Kawatachi</w:t>
      </w:r>
      <w:proofErr w:type="spellEnd"/>
      <w:r w:rsidRPr="00D95361">
        <w:rPr>
          <w:szCs w:val="24"/>
        </w:rPr>
        <w:t xml:space="preserve"> presented </w:t>
      </w:r>
      <w:r w:rsidR="00D22EF9" w:rsidRPr="00D95361">
        <w:rPr>
          <w:szCs w:val="24"/>
        </w:rPr>
        <w:t>a FY 2020 HCRC Mediation</w:t>
      </w:r>
      <w:r w:rsidR="00D22EF9" w:rsidRPr="009A29ED">
        <w:rPr>
          <w:szCs w:val="24"/>
        </w:rPr>
        <w:t xml:space="preserve"> Program year-to-date summary.</w:t>
      </w:r>
    </w:p>
    <w:p w:rsidR="003F7AD1" w:rsidRPr="00F10C48" w:rsidRDefault="003F7AD1" w:rsidP="003F7AD1">
      <w:pPr>
        <w:pStyle w:val="BodyText2"/>
        <w:spacing w:before="0"/>
        <w:jc w:val="left"/>
        <w:rPr>
          <w:b/>
          <w:szCs w:val="24"/>
          <w:u w:val="single"/>
        </w:rPr>
      </w:pPr>
    </w:p>
    <w:p w:rsidR="003F7AD1" w:rsidRPr="00F10C48" w:rsidRDefault="003F7AD1" w:rsidP="003F7AD1">
      <w:pPr>
        <w:pStyle w:val="BodyText2"/>
        <w:tabs>
          <w:tab w:val="left" w:pos="1440"/>
          <w:tab w:val="left" w:pos="2160"/>
          <w:tab w:val="left" w:pos="2880"/>
          <w:tab w:val="left" w:pos="8640"/>
        </w:tabs>
        <w:spacing w:before="0"/>
        <w:jc w:val="left"/>
        <w:rPr>
          <w:b/>
          <w:sz w:val="22"/>
          <w:szCs w:val="22"/>
        </w:rPr>
      </w:pPr>
    </w:p>
    <w:p w:rsidR="003F7AD1" w:rsidRPr="00F10C48" w:rsidRDefault="003F7AD1" w:rsidP="003F7AD1">
      <w:pPr>
        <w:pStyle w:val="BodyText2"/>
        <w:tabs>
          <w:tab w:val="left" w:pos="1440"/>
          <w:tab w:val="left" w:pos="2160"/>
          <w:tab w:val="left" w:pos="2880"/>
          <w:tab w:val="left" w:pos="8640"/>
        </w:tabs>
        <w:spacing w:before="0"/>
        <w:ind w:left="720"/>
        <w:jc w:val="left"/>
        <w:rPr>
          <w:sz w:val="22"/>
          <w:szCs w:val="22"/>
        </w:rPr>
      </w:pPr>
      <w:r w:rsidRPr="00F10C48">
        <w:rPr>
          <w:b/>
          <w:sz w:val="22"/>
          <w:szCs w:val="22"/>
        </w:rPr>
        <w:t xml:space="preserve">Summary &amp; </w:t>
      </w:r>
      <w:proofErr w:type="gramStart"/>
      <w:r w:rsidRPr="00F10C48">
        <w:rPr>
          <w:b/>
          <w:sz w:val="22"/>
          <w:szCs w:val="22"/>
        </w:rPr>
        <w:t>Details  (</w:t>
      </w:r>
      <w:proofErr w:type="gramEnd"/>
      <w:r w:rsidRPr="00F10C48">
        <w:rPr>
          <w:b/>
          <w:sz w:val="22"/>
          <w:szCs w:val="22"/>
        </w:rPr>
        <w:t>7/1/1</w:t>
      </w:r>
      <w:r w:rsidR="00D22EF9" w:rsidRPr="00F10C48">
        <w:rPr>
          <w:b/>
          <w:sz w:val="22"/>
          <w:szCs w:val="22"/>
        </w:rPr>
        <w:t>9</w:t>
      </w:r>
      <w:r w:rsidRPr="00F10C48">
        <w:rPr>
          <w:b/>
          <w:sz w:val="22"/>
          <w:szCs w:val="22"/>
        </w:rPr>
        <w:t xml:space="preserve"> through </w:t>
      </w:r>
      <w:r w:rsidR="00D22EF9" w:rsidRPr="00F10C48">
        <w:rPr>
          <w:b/>
          <w:sz w:val="22"/>
          <w:szCs w:val="22"/>
        </w:rPr>
        <w:t>9/13</w:t>
      </w:r>
      <w:r w:rsidRPr="00F10C48">
        <w:rPr>
          <w:b/>
          <w:sz w:val="22"/>
          <w:szCs w:val="22"/>
        </w:rPr>
        <w:t>/19)</w:t>
      </w:r>
    </w:p>
    <w:p w:rsidR="003F7AD1" w:rsidRPr="00F10C48" w:rsidRDefault="003F7AD1" w:rsidP="00750DC2">
      <w:pPr>
        <w:pStyle w:val="BodyText2"/>
        <w:tabs>
          <w:tab w:val="left" w:pos="1440"/>
          <w:tab w:val="left" w:pos="2160"/>
          <w:tab w:val="left" w:pos="2880"/>
          <w:tab w:val="left" w:pos="8640"/>
        </w:tabs>
        <w:spacing w:before="0"/>
        <w:ind w:left="720"/>
        <w:jc w:val="left"/>
        <w:rPr>
          <w:sz w:val="22"/>
          <w:szCs w:val="22"/>
        </w:rPr>
      </w:pPr>
      <w:r w:rsidRPr="00F10C48">
        <w:rPr>
          <w:sz w:val="22"/>
          <w:szCs w:val="22"/>
        </w:rPr>
        <w:t>Referrals</w:t>
      </w:r>
      <w:r w:rsidR="00750DC2">
        <w:rPr>
          <w:sz w:val="22"/>
          <w:szCs w:val="22"/>
        </w:rPr>
        <w:tab/>
      </w:r>
      <w:r w:rsidR="00750DC2">
        <w:rPr>
          <w:sz w:val="22"/>
          <w:szCs w:val="22"/>
        </w:rPr>
        <w:tab/>
      </w:r>
      <w:r w:rsidR="00D22EF9" w:rsidRPr="00F10C48">
        <w:rPr>
          <w:sz w:val="22"/>
          <w:szCs w:val="22"/>
        </w:rPr>
        <w:t>6</w:t>
      </w:r>
    </w:p>
    <w:p w:rsidR="003F7AD1" w:rsidRPr="00F10C48" w:rsidRDefault="003F7AD1" w:rsidP="003F7AD1">
      <w:pPr>
        <w:pStyle w:val="BodyText2"/>
        <w:tabs>
          <w:tab w:val="left" w:pos="1440"/>
          <w:tab w:val="left" w:pos="2160"/>
          <w:tab w:val="left" w:pos="2880"/>
          <w:tab w:val="left" w:pos="8640"/>
        </w:tabs>
        <w:spacing w:before="0"/>
        <w:ind w:left="720"/>
        <w:jc w:val="left"/>
        <w:rPr>
          <w:sz w:val="22"/>
          <w:szCs w:val="22"/>
        </w:rPr>
      </w:pPr>
      <w:r w:rsidRPr="00F10C48">
        <w:rPr>
          <w:sz w:val="22"/>
          <w:szCs w:val="22"/>
        </w:rPr>
        <w:t>Dispositions:</w:t>
      </w:r>
      <w:r w:rsidR="00750DC2">
        <w:rPr>
          <w:sz w:val="22"/>
          <w:szCs w:val="22"/>
        </w:rPr>
        <w:tab/>
      </w:r>
      <w:r w:rsidR="00750DC2">
        <w:rPr>
          <w:sz w:val="22"/>
          <w:szCs w:val="22"/>
        </w:rPr>
        <w:tab/>
      </w:r>
      <w:r w:rsidR="00D22EF9" w:rsidRPr="00F10C48">
        <w:rPr>
          <w:sz w:val="22"/>
          <w:szCs w:val="22"/>
        </w:rPr>
        <w:t>6</w:t>
      </w:r>
    </w:p>
    <w:p w:rsidR="003F7AD1" w:rsidRPr="00F10C48" w:rsidRDefault="00D22EF9" w:rsidP="003F7AD1">
      <w:pPr>
        <w:pStyle w:val="BodyText2"/>
        <w:tabs>
          <w:tab w:val="left" w:pos="1440"/>
          <w:tab w:val="left" w:pos="2160"/>
          <w:tab w:val="left" w:pos="2880"/>
          <w:tab w:val="left" w:pos="8640"/>
        </w:tabs>
        <w:spacing w:before="0"/>
        <w:ind w:left="720"/>
        <w:jc w:val="left"/>
        <w:rPr>
          <w:sz w:val="22"/>
          <w:szCs w:val="22"/>
        </w:rPr>
      </w:pPr>
      <w:r w:rsidRPr="00F10C48">
        <w:rPr>
          <w:sz w:val="22"/>
          <w:szCs w:val="22"/>
        </w:rPr>
        <w:t xml:space="preserve">  </w:t>
      </w:r>
      <w:r w:rsidR="003F7AD1" w:rsidRPr="00F10C48">
        <w:rPr>
          <w:sz w:val="22"/>
          <w:szCs w:val="22"/>
        </w:rPr>
        <w:t>Settlements:</w:t>
      </w:r>
      <w:r w:rsidR="00750DC2">
        <w:rPr>
          <w:sz w:val="22"/>
          <w:szCs w:val="22"/>
        </w:rPr>
        <w:tab/>
      </w:r>
      <w:r w:rsidR="00750DC2">
        <w:rPr>
          <w:sz w:val="22"/>
          <w:szCs w:val="22"/>
        </w:rPr>
        <w:tab/>
      </w:r>
      <w:r w:rsidR="00D95361" w:rsidRPr="00F10C48">
        <w:rPr>
          <w:sz w:val="22"/>
          <w:szCs w:val="22"/>
        </w:rPr>
        <w:t>3</w:t>
      </w:r>
    </w:p>
    <w:p w:rsidR="003F7AD1" w:rsidRPr="00F10C48" w:rsidRDefault="00D22EF9" w:rsidP="003F7AD1">
      <w:pPr>
        <w:pStyle w:val="BodyText2"/>
        <w:tabs>
          <w:tab w:val="left" w:pos="1440"/>
          <w:tab w:val="left" w:pos="2160"/>
          <w:tab w:val="left" w:pos="2880"/>
          <w:tab w:val="left" w:pos="8640"/>
        </w:tabs>
        <w:spacing w:before="0"/>
        <w:ind w:left="720"/>
        <w:jc w:val="left"/>
        <w:rPr>
          <w:sz w:val="22"/>
          <w:szCs w:val="22"/>
        </w:rPr>
      </w:pPr>
      <w:r w:rsidRPr="00F10C48">
        <w:rPr>
          <w:sz w:val="22"/>
          <w:szCs w:val="22"/>
        </w:rPr>
        <w:t xml:space="preserve">  </w:t>
      </w:r>
      <w:r w:rsidR="00750DC2">
        <w:rPr>
          <w:sz w:val="22"/>
          <w:szCs w:val="22"/>
        </w:rPr>
        <w:t>Non-agreements:</w:t>
      </w:r>
      <w:r w:rsidR="00750DC2">
        <w:rPr>
          <w:sz w:val="22"/>
          <w:szCs w:val="22"/>
        </w:rPr>
        <w:tab/>
      </w:r>
      <w:r w:rsidR="00D95361" w:rsidRPr="00F10C48">
        <w:rPr>
          <w:sz w:val="22"/>
          <w:szCs w:val="22"/>
        </w:rPr>
        <w:t>3</w:t>
      </w:r>
    </w:p>
    <w:p w:rsidR="003F7AD1" w:rsidRPr="00F10C48" w:rsidRDefault="00750DC2" w:rsidP="003F7AD1">
      <w:pPr>
        <w:pStyle w:val="BodyText2"/>
        <w:tabs>
          <w:tab w:val="left" w:pos="1440"/>
          <w:tab w:val="left" w:pos="2160"/>
          <w:tab w:val="left" w:pos="2880"/>
          <w:tab w:val="left" w:pos="8640"/>
        </w:tabs>
        <w:spacing w:before="0"/>
        <w:ind w:left="720"/>
        <w:jc w:val="left"/>
        <w:rPr>
          <w:sz w:val="22"/>
          <w:szCs w:val="22"/>
        </w:rPr>
      </w:pPr>
      <w:r>
        <w:rPr>
          <w:sz w:val="22"/>
          <w:szCs w:val="22"/>
        </w:rPr>
        <w:t>Settlement Rate:</w:t>
      </w:r>
      <w:r>
        <w:rPr>
          <w:sz w:val="22"/>
          <w:szCs w:val="22"/>
        </w:rPr>
        <w:tab/>
      </w:r>
      <w:r w:rsidR="00D95361" w:rsidRPr="00F10C48">
        <w:rPr>
          <w:sz w:val="22"/>
          <w:szCs w:val="22"/>
        </w:rPr>
        <w:t>50</w:t>
      </w:r>
      <w:r w:rsidR="003F7AD1" w:rsidRPr="00F10C48">
        <w:rPr>
          <w:sz w:val="22"/>
          <w:szCs w:val="22"/>
        </w:rPr>
        <w:t xml:space="preserve"> %</w:t>
      </w:r>
    </w:p>
    <w:p w:rsidR="003F7AD1" w:rsidRPr="00F10C48" w:rsidRDefault="003F7AD1" w:rsidP="003F7AD1">
      <w:pPr>
        <w:pStyle w:val="BodyText2"/>
        <w:tabs>
          <w:tab w:val="left" w:pos="1440"/>
          <w:tab w:val="left" w:pos="2160"/>
          <w:tab w:val="left" w:pos="3600"/>
          <w:tab w:val="left" w:pos="4320"/>
          <w:tab w:val="left" w:pos="8640"/>
        </w:tabs>
        <w:spacing w:before="0"/>
        <w:jc w:val="left"/>
        <w:rPr>
          <w:sz w:val="22"/>
          <w:szCs w:val="22"/>
        </w:rPr>
      </w:pPr>
    </w:p>
    <w:p w:rsidR="003F7AD1" w:rsidRPr="00F10C48" w:rsidRDefault="003F7AD1" w:rsidP="00750DC2">
      <w:pPr>
        <w:pStyle w:val="BodyText2"/>
        <w:tabs>
          <w:tab w:val="left" w:pos="1440"/>
          <w:tab w:val="left" w:pos="2160"/>
          <w:tab w:val="left" w:pos="3600"/>
          <w:tab w:val="left" w:pos="4320"/>
          <w:tab w:val="left" w:pos="6030"/>
          <w:tab w:val="left" w:pos="8640"/>
        </w:tabs>
        <w:spacing w:before="0"/>
        <w:ind w:left="720"/>
        <w:jc w:val="left"/>
        <w:rPr>
          <w:sz w:val="22"/>
          <w:szCs w:val="22"/>
        </w:rPr>
      </w:pPr>
      <w:r w:rsidRPr="00F10C48">
        <w:rPr>
          <w:sz w:val="22"/>
          <w:szCs w:val="22"/>
        </w:rPr>
        <w:t>Employment cases settled:</w:t>
      </w:r>
      <w:r w:rsidR="00750DC2">
        <w:rPr>
          <w:sz w:val="22"/>
          <w:szCs w:val="22"/>
        </w:rPr>
        <w:tab/>
      </w:r>
      <w:r w:rsidR="00750DC2">
        <w:rPr>
          <w:sz w:val="22"/>
          <w:szCs w:val="22"/>
        </w:rPr>
        <w:tab/>
      </w:r>
      <w:r w:rsidR="00750DC2">
        <w:rPr>
          <w:sz w:val="22"/>
          <w:szCs w:val="22"/>
        </w:rPr>
        <w:tab/>
      </w:r>
      <w:r w:rsidR="00D95361" w:rsidRPr="00F10C48">
        <w:rPr>
          <w:sz w:val="22"/>
          <w:szCs w:val="22"/>
        </w:rPr>
        <w:t>2</w:t>
      </w:r>
    </w:p>
    <w:p w:rsidR="003F7AD1" w:rsidRPr="00F10C48" w:rsidRDefault="003F7AD1" w:rsidP="00750DC2">
      <w:pPr>
        <w:pStyle w:val="BodyText2"/>
        <w:tabs>
          <w:tab w:val="left" w:pos="1440"/>
          <w:tab w:val="left" w:pos="2160"/>
          <w:tab w:val="left" w:pos="3600"/>
          <w:tab w:val="left" w:pos="4320"/>
          <w:tab w:val="left" w:pos="6030"/>
          <w:tab w:val="left" w:pos="8640"/>
        </w:tabs>
        <w:spacing w:before="0"/>
        <w:ind w:left="720"/>
        <w:jc w:val="left"/>
        <w:rPr>
          <w:sz w:val="22"/>
          <w:szCs w:val="22"/>
        </w:rPr>
      </w:pPr>
      <w:r w:rsidRPr="00F10C48">
        <w:rPr>
          <w:sz w:val="22"/>
          <w:szCs w:val="22"/>
        </w:rPr>
        <w:t>Non-employment cases settled:</w:t>
      </w:r>
      <w:r w:rsidR="00750DC2">
        <w:rPr>
          <w:sz w:val="22"/>
          <w:szCs w:val="22"/>
        </w:rPr>
        <w:tab/>
      </w:r>
      <w:r w:rsidR="00750DC2">
        <w:rPr>
          <w:sz w:val="22"/>
          <w:szCs w:val="22"/>
        </w:rPr>
        <w:tab/>
      </w:r>
      <w:r w:rsidR="00750DC2">
        <w:rPr>
          <w:sz w:val="22"/>
          <w:szCs w:val="22"/>
        </w:rPr>
        <w:tab/>
      </w:r>
      <w:r w:rsidRPr="00F10C48">
        <w:rPr>
          <w:sz w:val="22"/>
          <w:szCs w:val="22"/>
        </w:rPr>
        <w:t>1</w:t>
      </w:r>
    </w:p>
    <w:p w:rsidR="003F7AD1" w:rsidRPr="00F10C48" w:rsidRDefault="003F7AD1" w:rsidP="00750DC2">
      <w:pPr>
        <w:pStyle w:val="BodyText2"/>
        <w:tabs>
          <w:tab w:val="left" w:pos="1440"/>
          <w:tab w:val="left" w:pos="2160"/>
          <w:tab w:val="left" w:pos="3600"/>
          <w:tab w:val="left" w:pos="4320"/>
          <w:tab w:val="left" w:pos="5040"/>
          <w:tab w:val="left" w:pos="6030"/>
        </w:tabs>
        <w:spacing w:before="0"/>
        <w:ind w:left="720"/>
        <w:jc w:val="left"/>
        <w:rPr>
          <w:sz w:val="22"/>
          <w:szCs w:val="22"/>
        </w:rPr>
      </w:pPr>
      <w:r w:rsidRPr="00F10C48">
        <w:rPr>
          <w:sz w:val="22"/>
          <w:szCs w:val="22"/>
        </w:rPr>
        <w:t>Dual-filed (EEOC/HCRC and HUD/HCRC) settlements:</w:t>
      </w:r>
      <w:r w:rsidR="00750DC2">
        <w:rPr>
          <w:sz w:val="22"/>
          <w:szCs w:val="22"/>
        </w:rPr>
        <w:tab/>
      </w:r>
      <w:r w:rsidRPr="00F10C48">
        <w:rPr>
          <w:sz w:val="22"/>
          <w:szCs w:val="22"/>
        </w:rPr>
        <w:t>2</w:t>
      </w:r>
    </w:p>
    <w:p w:rsidR="003F7AD1" w:rsidRPr="00F10C48" w:rsidRDefault="003F7AD1" w:rsidP="00750DC2">
      <w:pPr>
        <w:pStyle w:val="BodyText2"/>
        <w:tabs>
          <w:tab w:val="left" w:pos="1440"/>
          <w:tab w:val="left" w:pos="2160"/>
          <w:tab w:val="left" w:pos="4320"/>
          <w:tab w:val="left" w:pos="5040"/>
          <w:tab w:val="left" w:pos="6030"/>
          <w:tab w:val="left" w:pos="8640"/>
        </w:tabs>
        <w:spacing w:before="0"/>
        <w:ind w:left="720"/>
        <w:jc w:val="left"/>
        <w:rPr>
          <w:b/>
          <w:sz w:val="22"/>
          <w:szCs w:val="22"/>
        </w:rPr>
      </w:pPr>
      <w:r w:rsidRPr="00F10C48">
        <w:rPr>
          <w:sz w:val="22"/>
          <w:szCs w:val="22"/>
        </w:rPr>
        <w:t>State-only settlements:</w:t>
      </w:r>
      <w:r w:rsidR="00750DC2">
        <w:rPr>
          <w:sz w:val="22"/>
          <w:szCs w:val="22"/>
        </w:rPr>
        <w:tab/>
      </w:r>
      <w:r w:rsidR="00750DC2">
        <w:rPr>
          <w:sz w:val="22"/>
          <w:szCs w:val="22"/>
        </w:rPr>
        <w:tab/>
      </w:r>
      <w:r w:rsidR="00750DC2">
        <w:rPr>
          <w:sz w:val="22"/>
          <w:szCs w:val="22"/>
        </w:rPr>
        <w:tab/>
      </w:r>
      <w:r w:rsidR="00D95361" w:rsidRPr="00F10C48">
        <w:rPr>
          <w:sz w:val="22"/>
          <w:szCs w:val="22"/>
        </w:rPr>
        <w:t>1</w:t>
      </w:r>
    </w:p>
    <w:p w:rsidR="003F7AD1" w:rsidRPr="00F10C48" w:rsidRDefault="003F7AD1" w:rsidP="003F7AD1">
      <w:pPr>
        <w:pStyle w:val="BodyText2"/>
        <w:tabs>
          <w:tab w:val="left" w:pos="1440"/>
          <w:tab w:val="left" w:pos="2160"/>
          <w:tab w:val="left" w:pos="3600"/>
          <w:tab w:val="left" w:pos="4320"/>
          <w:tab w:val="left" w:pos="5040"/>
          <w:tab w:val="left" w:pos="8640"/>
        </w:tabs>
        <w:spacing w:before="0"/>
        <w:ind w:left="720"/>
        <w:jc w:val="left"/>
        <w:rPr>
          <w:b/>
          <w:sz w:val="22"/>
          <w:szCs w:val="22"/>
        </w:rPr>
      </w:pPr>
    </w:p>
    <w:p w:rsidR="003F7AD1" w:rsidRPr="00F10C48" w:rsidRDefault="003F7AD1" w:rsidP="003F7AD1">
      <w:pPr>
        <w:pStyle w:val="BodyText2"/>
        <w:tabs>
          <w:tab w:val="left" w:pos="1440"/>
          <w:tab w:val="left" w:pos="2160"/>
          <w:tab w:val="left" w:pos="3600"/>
          <w:tab w:val="left" w:pos="4320"/>
          <w:tab w:val="left" w:pos="5040"/>
          <w:tab w:val="left" w:pos="8640"/>
        </w:tabs>
        <w:spacing w:before="0"/>
        <w:ind w:left="720"/>
        <w:jc w:val="left"/>
        <w:rPr>
          <w:b/>
          <w:sz w:val="22"/>
          <w:szCs w:val="22"/>
        </w:rPr>
      </w:pPr>
      <w:r w:rsidRPr="00F10C48">
        <w:rPr>
          <w:b/>
          <w:sz w:val="22"/>
          <w:szCs w:val="22"/>
        </w:rPr>
        <w:t>Primary Bases for Complaints Settled in Mediation</w:t>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p>
    <w:p w:rsidR="003F7AD1" w:rsidRPr="00F10C48" w:rsidRDefault="00750DC2"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Pr>
          <w:sz w:val="22"/>
          <w:szCs w:val="22"/>
        </w:rPr>
        <w:t>Disability</w:t>
      </w:r>
      <w:r>
        <w:rPr>
          <w:sz w:val="22"/>
          <w:szCs w:val="22"/>
        </w:rPr>
        <w:tab/>
      </w:r>
      <w:r>
        <w:rPr>
          <w:sz w:val="22"/>
          <w:szCs w:val="22"/>
        </w:rPr>
        <w:tab/>
      </w:r>
      <w:r>
        <w:rPr>
          <w:sz w:val="22"/>
          <w:szCs w:val="22"/>
        </w:rPr>
        <w:tab/>
      </w:r>
      <w:r w:rsidR="00D95361" w:rsidRPr="00F10C48">
        <w:rPr>
          <w:sz w:val="22"/>
          <w:szCs w:val="22"/>
        </w:rPr>
        <w:t>1</w:t>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sidRPr="00F10C48">
        <w:rPr>
          <w:sz w:val="22"/>
          <w:szCs w:val="22"/>
        </w:rPr>
        <w:t>Retaliation</w:t>
      </w:r>
      <w:r w:rsidR="00750DC2">
        <w:rPr>
          <w:sz w:val="22"/>
          <w:szCs w:val="22"/>
        </w:rPr>
        <w:tab/>
      </w:r>
      <w:r w:rsidR="00750DC2">
        <w:rPr>
          <w:sz w:val="22"/>
          <w:szCs w:val="22"/>
        </w:rPr>
        <w:tab/>
      </w:r>
      <w:r w:rsidR="00750DC2">
        <w:rPr>
          <w:sz w:val="22"/>
          <w:szCs w:val="22"/>
        </w:rPr>
        <w:tab/>
      </w:r>
      <w:r w:rsidRPr="00F10C48">
        <w:rPr>
          <w:sz w:val="22"/>
          <w:szCs w:val="22"/>
        </w:rPr>
        <w:t>2</w:t>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jc w:val="left"/>
        <w:rPr>
          <w:sz w:val="22"/>
          <w:szCs w:val="22"/>
        </w:rPr>
      </w:pP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jc w:val="left"/>
        <w:rPr>
          <w:b/>
          <w:sz w:val="22"/>
          <w:szCs w:val="22"/>
        </w:rPr>
      </w:pPr>
      <w:r w:rsidRPr="00F10C48">
        <w:rPr>
          <w:b/>
          <w:sz w:val="22"/>
          <w:szCs w:val="22"/>
        </w:rPr>
        <w:t>Dispositions by Mediation Center</w:t>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b/>
          <w:sz w:val="22"/>
          <w:szCs w:val="22"/>
        </w:rPr>
      </w:pPr>
      <w:r w:rsidRPr="00F10C48">
        <w:rPr>
          <w:sz w:val="22"/>
          <w:szCs w:val="22"/>
        </w:rPr>
        <w:t>Mediation Center of the Pacific</w:t>
      </w:r>
      <w:r w:rsidRPr="00F10C48">
        <w:rPr>
          <w:sz w:val="22"/>
          <w:szCs w:val="22"/>
        </w:rPr>
        <w:tab/>
      </w:r>
      <w:r w:rsidRPr="00F10C48">
        <w:rPr>
          <w:sz w:val="22"/>
          <w:szCs w:val="22"/>
        </w:rPr>
        <w:tab/>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sidRPr="00F10C48">
        <w:rPr>
          <w:sz w:val="22"/>
          <w:szCs w:val="22"/>
        </w:rPr>
        <w:t>Mediation Services of Maui</w:t>
      </w:r>
      <w:r w:rsidRPr="00F10C48">
        <w:rPr>
          <w:sz w:val="22"/>
          <w:szCs w:val="22"/>
        </w:rPr>
        <w:tab/>
      </w:r>
      <w:r w:rsidRPr="00F10C48">
        <w:rPr>
          <w:sz w:val="22"/>
          <w:szCs w:val="22"/>
        </w:rPr>
        <w:tab/>
        <w:t>0/1</w:t>
      </w:r>
      <w:r w:rsidRPr="00F10C48">
        <w:rPr>
          <w:sz w:val="22"/>
          <w:szCs w:val="22"/>
        </w:rPr>
        <w:tab/>
        <w:t>(settlement rate 0%)</w:t>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sidRPr="00F10C48">
        <w:rPr>
          <w:sz w:val="22"/>
          <w:szCs w:val="22"/>
        </w:rPr>
        <w:t>Private Mediators</w:t>
      </w:r>
      <w:r w:rsidRPr="00F10C48">
        <w:rPr>
          <w:sz w:val="22"/>
          <w:szCs w:val="22"/>
        </w:rPr>
        <w:tab/>
      </w:r>
      <w:r w:rsidRPr="00F10C48">
        <w:rPr>
          <w:sz w:val="22"/>
          <w:szCs w:val="22"/>
        </w:rPr>
        <w:tab/>
      </w:r>
      <w:r w:rsidRPr="00F10C48">
        <w:rPr>
          <w:sz w:val="22"/>
          <w:szCs w:val="22"/>
        </w:rPr>
        <w:tab/>
        <w:t>2/</w:t>
      </w:r>
      <w:r w:rsidR="00D95361" w:rsidRPr="00F10C48">
        <w:rPr>
          <w:sz w:val="22"/>
          <w:szCs w:val="22"/>
        </w:rPr>
        <w:t>2</w:t>
      </w:r>
      <w:r w:rsidRPr="00F10C48">
        <w:rPr>
          <w:sz w:val="22"/>
          <w:szCs w:val="22"/>
        </w:rPr>
        <w:tab/>
        <w:t xml:space="preserve">(settlement rate </w:t>
      </w:r>
      <w:r w:rsidR="00D95361" w:rsidRPr="00F10C48">
        <w:rPr>
          <w:sz w:val="22"/>
          <w:szCs w:val="22"/>
        </w:rPr>
        <w:t>100</w:t>
      </w:r>
      <w:r w:rsidRPr="00F10C48">
        <w:rPr>
          <w:sz w:val="22"/>
          <w:szCs w:val="22"/>
        </w:rPr>
        <w:t>%)</w:t>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proofErr w:type="spellStart"/>
      <w:r w:rsidRPr="00F10C48">
        <w:rPr>
          <w:sz w:val="22"/>
          <w:szCs w:val="22"/>
        </w:rPr>
        <w:t>Kuʻikahi</w:t>
      </w:r>
      <w:proofErr w:type="spellEnd"/>
      <w:r w:rsidRPr="00F10C48">
        <w:rPr>
          <w:sz w:val="22"/>
          <w:szCs w:val="22"/>
        </w:rPr>
        <w:t xml:space="preserve"> Mediation Services (Hilo)</w:t>
      </w:r>
      <w:r w:rsidRPr="00F10C48">
        <w:rPr>
          <w:sz w:val="22"/>
          <w:szCs w:val="22"/>
        </w:rPr>
        <w:tab/>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sidRPr="00F10C48">
        <w:rPr>
          <w:sz w:val="22"/>
          <w:szCs w:val="22"/>
        </w:rPr>
        <w:t>West Hawaii Mediation Center</w:t>
      </w:r>
      <w:r w:rsidRPr="00F10C48">
        <w:rPr>
          <w:sz w:val="22"/>
          <w:szCs w:val="22"/>
        </w:rPr>
        <w:tab/>
      </w:r>
      <w:r w:rsidRPr="00F10C48">
        <w:rPr>
          <w:sz w:val="22"/>
          <w:szCs w:val="22"/>
        </w:rPr>
        <w:tab/>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sidRPr="00F10C48">
        <w:rPr>
          <w:sz w:val="22"/>
          <w:szCs w:val="22"/>
        </w:rPr>
        <w:t>Kauai Economic Opportunity, Inc.</w:t>
      </w:r>
      <w:r w:rsidRPr="00F10C48">
        <w:rPr>
          <w:sz w:val="22"/>
          <w:szCs w:val="22"/>
        </w:rPr>
        <w:tab/>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sz w:val="22"/>
          <w:szCs w:val="22"/>
        </w:rPr>
      </w:pPr>
      <w:r w:rsidRPr="00F10C48">
        <w:rPr>
          <w:sz w:val="22"/>
          <w:szCs w:val="22"/>
        </w:rPr>
        <w:t>Hawaiʻi Civil Rights Commission</w:t>
      </w:r>
      <w:r w:rsidRPr="00F10C48">
        <w:rPr>
          <w:sz w:val="22"/>
          <w:szCs w:val="22"/>
        </w:rPr>
        <w:tab/>
      </w:r>
      <w:r w:rsidR="00D95361" w:rsidRPr="00F10C48">
        <w:rPr>
          <w:sz w:val="22"/>
          <w:szCs w:val="22"/>
        </w:rPr>
        <w:t>1/3</w:t>
      </w:r>
      <w:r w:rsidR="00D95361" w:rsidRPr="00F10C48">
        <w:rPr>
          <w:sz w:val="22"/>
          <w:szCs w:val="22"/>
        </w:rPr>
        <w:tab/>
        <w:t>(settlement rate 33.3%)</w:t>
      </w:r>
      <w:r w:rsidRPr="00F10C48">
        <w:rPr>
          <w:sz w:val="22"/>
          <w:szCs w:val="22"/>
        </w:rPr>
        <w:tab/>
      </w:r>
    </w:p>
    <w:p w:rsidR="003F7AD1" w:rsidRPr="00F10C48" w:rsidRDefault="003F7AD1" w:rsidP="003F7AD1">
      <w:pPr>
        <w:pStyle w:val="BodyText2"/>
        <w:tabs>
          <w:tab w:val="left" w:pos="1440"/>
          <w:tab w:val="left" w:pos="2160"/>
          <w:tab w:val="left" w:pos="2880"/>
          <w:tab w:val="left" w:pos="3600"/>
          <w:tab w:val="left" w:pos="4320"/>
          <w:tab w:val="left" w:pos="5040"/>
          <w:tab w:val="left" w:pos="8640"/>
        </w:tabs>
        <w:spacing w:before="0"/>
        <w:ind w:left="720"/>
        <w:jc w:val="left"/>
        <w:rPr>
          <w:b/>
          <w:sz w:val="22"/>
          <w:szCs w:val="22"/>
        </w:rPr>
      </w:pPr>
    </w:p>
    <w:p w:rsidR="003F7AD1" w:rsidRPr="00F10C48" w:rsidRDefault="00750DC2" w:rsidP="003F7AD1">
      <w:pPr>
        <w:pStyle w:val="BodyText2"/>
        <w:tabs>
          <w:tab w:val="left" w:pos="1440"/>
          <w:tab w:val="left" w:pos="2160"/>
          <w:tab w:val="left" w:pos="2880"/>
          <w:tab w:val="left" w:pos="3600"/>
          <w:tab w:val="left" w:pos="4320"/>
          <w:tab w:val="left" w:pos="5040"/>
          <w:tab w:val="left" w:pos="8640"/>
        </w:tabs>
        <w:spacing w:before="0"/>
        <w:ind w:left="720"/>
        <w:jc w:val="left"/>
        <w:rPr>
          <w:b/>
          <w:sz w:val="22"/>
          <w:szCs w:val="22"/>
        </w:rPr>
      </w:pPr>
      <w:r>
        <w:rPr>
          <w:b/>
          <w:sz w:val="22"/>
          <w:szCs w:val="22"/>
        </w:rPr>
        <w:t>OVERALL</w:t>
      </w:r>
      <w:r w:rsidR="00D95361" w:rsidRPr="00F10C48">
        <w:rPr>
          <w:b/>
          <w:sz w:val="22"/>
          <w:szCs w:val="22"/>
        </w:rPr>
        <w:t>3</w:t>
      </w:r>
      <w:r w:rsidR="003F7AD1" w:rsidRPr="00F10C48">
        <w:rPr>
          <w:b/>
          <w:sz w:val="22"/>
          <w:szCs w:val="22"/>
        </w:rPr>
        <w:t>/</w:t>
      </w:r>
      <w:r w:rsidR="00D95361" w:rsidRPr="00F10C48">
        <w:rPr>
          <w:b/>
          <w:sz w:val="22"/>
          <w:szCs w:val="22"/>
        </w:rPr>
        <w:t>6</w:t>
      </w:r>
      <w:r w:rsidR="003F7AD1" w:rsidRPr="00F10C48">
        <w:rPr>
          <w:b/>
          <w:sz w:val="22"/>
          <w:szCs w:val="22"/>
        </w:rPr>
        <w:tab/>
        <w:t xml:space="preserve">(settlement rate </w:t>
      </w:r>
      <w:r w:rsidR="00D95361" w:rsidRPr="00F10C48">
        <w:rPr>
          <w:b/>
          <w:sz w:val="22"/>
          <w:szCs w:val="22"/>
        </w:rPr>
        <w:t>50</w:t>
      </w:r>
      <w:r w:rsidR="003F7AD1" w:rsidRPr="00F10C48">
        <w:rPr>
          <w:b/>
          <w:sz w:val="22"/>
          <w:szCs w:val="22"/>
        </w:rPr>
        <w:t>%)</w:t>
      </w:r>
    </w:p>
    <w:p w:rsidR="003F7AD1" w:rsidRPr="00BF219C" w:rsidRDefault="003F7AD1" w:rsidP="003F7AD1">
      <w:pPr>
        <w:pStyle w:val="BodyText2"/>
        <w:spacing w:before="0"/>
        <w:jc w:val="left"/>
        <w:rPr>
          <w:szCs w:val="24"/>
        </w:rPr>
      </w:pPr>
    </w:p>
    <w:p w:rsidR="003F7AD1" w:rsidRPr="00BF219C" w:rsidRDefault="003F7AD1" w:rsidP="00A23F81">
      <w:pPr>
        <w:pStyle w:val="BodyText2"/>
        <w:spacing w:before="0"/>
        <w:jc w:val="left"/>
        <w:rPr>
          <w:b/>
          <w:szCs w:val="24"/>
          <w:u w:val="single"/>
        </w:rPr>
      </w:pPr>
    </w:p>
    <w:p w:rsidR="005165AD" w:rsidRPr="00BF219C" w:rsidRDefault="005165AD" w:rsidP="005165AD">
      <w:pPr>
        <w:pStyle w:val="BodyText2"/>
        <w:spacing w:before="0"/>
      </w:pPr>
      <w:r w:rsidRPr="00BF219C">
        <w:t xml:space="preserve">DED </w:t>
      </w:r>
      <w:proofErr w:type="spellStart"/>
      <w:r w:rsidRPr="00BF219C">
        <w:t>Kawatachi</w:t>
      </w:r>
      <w:proofErr w:type="spellEnd"/>
      <w:r w:rsidRPr="00BF219C">
        <w:t xml:space="preserve"> presented a data and production report showing caseload data through</w:t>
      </w:r>
      <w:r w:rsidR="00273D95" w:rsidRPr="00BF219C">
        <w:t xml:space="preserve"> September 13</w:t>
      </w:r>
      <w:r w:rsidRPr="00BF219C">
        <w:t>, 2019.</w:t>
      </w:r>
    </w:p>
    <w:p w:rsidR="00273D95" w:rsidRPr="00BF219C" w:rsidRDefault="00273D95" w:rsidP="005165AD">
      <w:pPr>
        <w:pStyle w:val="BodyText2"/>
        <w:spacing w:before="0"/>
      </w:pPr>
    </w:p>
    <w:p w:rsidR="005165AD" w:rsidRPr="00BF219C" w:rsidRDefault="005165AD" w:rsidP="005165AD">
      <w:pPr>
        <w:pStyle w:val="BodyText2"/>
        <w:spacing w:before="0"/>
      </w:pPr>
      <w:r w:rsidRPr="00BF219C">
        <w:lastRenderedPageBreak/>
        <w:t xml:space="preserve">As of, </w:t>
      </w:r>
      <w:r w:rsidR="00273D95" w:rsidRPr="00BF219C">
        <w:t>September 13</w:t>
      </w:r>
      <w:r w:rsidRPr="00BF219C">
        <w:t>, 2019, the report showed 24</w:t>
      </w:r>
      <w:r w:rsidR="00273D95" w:rsidRPr="00BF219C">
        <w:t>8</w:t>
      </w:r>
      <w:r w:rsidRPr="00BF219C">
        <w:t xml:space="preserve"> open cases, a decrease of 1 case from the number reported as of </w:t>
      </w:r>
      <w:r w:rsidR="00273D95" w:rsidRPr="00BF219C">
        <w:t>July 19</w:t>
      </w:r>
      <w:r w:rsidRPr="00BF219C">
        <w:t xml:space="preserve">, 2019.  Of those, 1 (0.4%) was filed in 2016, </w:t>
      </w:r>
      <w:r w:rsidR="00273D95" w:rsidRPr="00BF219C">
        <w:t>18</w:t>
      </w:r>
      <w:r w:rsidRPr="00BF219C">
        <w:t xml:space="preserve"> (</w:t>
      </w:r>
      <w:r w:rsidR="00370584" w:rsidRPr="00BF219C">
        <w:t>7</w:t>
      </w:r>
      <w:r w:rsidRPr="00BF219C">
        <w:t xml:space="preserve">.3%) in 2017, </w:t>
      </w:r>
      <w:r w:rsidR="00370584" w:rsidRPr="00BF219C">
        <w:t>94 (3</w:t>
      </w:r>
      <w:r w:rsidRPr="00BF219C">
        <w:t>7.</w:t>
      </w:r>
      <w:r w:rsidR="00370584" w:rsidRPr="00BF219C">
        <w:t>9</w:t>
      </w:r>
      <w:r w:rsidRPr="00BF219C">
        <w:t>%) in 2018, and 1</w:t>
      </w:r>
      <w:r w:rsidR="00370584" w:rsidRPr="00BF219C">
        <w:t>35</w:t>
      </w:r>
      <w:r w:rsidRPr="00BF219C">
        <w:t xml:space="preserve"> (</w:t>
      </w:r>
      <w:r w:rsidR="00370584" w:rsidRPr="00BF219C">
        <w:t>54.4</w:t>
      </w:r>
      <w:r w:rsidRPr="00BF219C">
        <w:t>%) in 2019.</w:t>
      </w:r>
    </w:p>
    <w:p w:rsidR="005165AD" w:rsidRPr="00BF219C" w:rsidRDefault="005165AD" w:rsidP="005165AD">
      <w:pPr>
        <w:pStyle w:val="BodyText2"/>
      </w:pPr>
      <w:r w:rsidRPr="00BF219C">
        <w:t>The report also showed a breakdown of the status of the open cases by type of case and investigation stage.</w:t>
      </w:r>
    </w:p>
    <w:p w:rsidR="005165AD" w:rsidRPr="00BF219C" w:rsidRDefault="005165AD" w:rsidP="005165AD">
      <w:pPr>
        <w:pStyle w:val="BodyText2"/>
      </w:pPr>
    </w:p>
    <w:tbl>
      <w:tblPr>
        <w:tblW w:w="7468" w:type="dxa"/>
        <w:tblLayout w:type="fixed"/>
        <w:tblLook w:val="01E0" w:firstRow="1" w:lastRow="1" w:firstColumn="1" w:lastColumn="1" w:noHBand="0" w:noVBand="0"/>
      </w:tblPr>
      <w:tblGrid>
        <w:gridCol w:w="1423"/>
        <w:gridCol w:w="1080"/>
        <w:gridCol w:w="900"/>
        <w:gridCol w:w="755"/>
        <w:gridCol w:w="755"/>
        <w:gridCol w:w="755"/>
        <w:gridCol w:w="755"/>
        <w:gridCol w:w="1045"/>
      </w:tblGrid>
      <w:tr w:rsidR="005165AD" w:rsidRPr="00BF219C" w:rsidTr="00A67BC3">
        <w:tc>
          <w:tcPr>
            <w:tcW w:w="1423" w:type="dxa"/>
          </w:tcPr>
          <w:p w:rsidR="005165AD" w:rsidRPr="00BF219C" w:rsidRDefault="005165AD" w:rsidP="005165AD">
            <w:pPr>
              <w:pStyle w:val="BodyText2"/>
              <w:rPr>
                <w:sz w:val="22"/>
                <w:szCs w:val="22"/>
              </w:rPr>
            </w:pPr>
            <w:r w:rsidRPr="00BF219C">
              <w:rPr>
                <w:sz w:val="22"/>
                <w:szCs w:val="22"/>
              </w:rPr>
              <w:br w:type="page"/>
            </w: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r w:rsidRPr="00BF219C">
              <w:rPr>
                <w:sz w:val="22"/>
                <w:szCs w:val="22"/>
              </w:rPr>
              <w:t>2016</w:t>
            </w:r>
          </w:p>
        </w:tc>
        <w:tc>
          <w:tcPr>
            <w:tcW w:w="755" w:type="dxa"/>
          </w:tcPr>
          <w:p w:rsidR="005165AD" w:rsidRPr="00BF219C" w:rsidRDefault="005165AD" w:rsidP="005165AD">
            <w:pPr>
              <w:pStyle w:val="BodyText2"/>
              <w:jc w:val="left"/>
              <w:rPr>
                <w:sz w:val="22"/>
                <w:szCs w:val="22"/>
              </w:rPr>
            </w:pPr>
            <w:r w:rsidRPr="00BF219C">
              <w:rPr>
                <w:sz w:val="22"/>
                <w:szCs w:val="22"/>
              </w:rPr>
              <w:t>2017</w:t>
            </w:r>
          </w:p>
        </w:tc>
        <w:tc>
          <w:tcPr>
            <w:tcW w:w="755" w:type="dxa"/>
          </w:tcPr>
          <w:p w:rsidR="005165AD" w:rsidRPr="00BF219C" w:rsidRDefault="005165AD" w:rsidP="005165AD">
            <w:pPr>
              <w:pStyle w:val="BodyText2"/>
              <w:jc w:val="left"/>
              <w:rPr>
                <w:sz w:val="22"/>
                <w:szCs w:val="22"/>
              </w:rPr>
            </w:pPr>
            <w:r w:rsidRPr="00BF219C">
              <w:rPr>
                <w:sz w:val="22"/>
                <w:szCs w:val="22"/>
              </w:rPr>
              <w:t>2018</w:t>
            </w:r>
          </w:p>
        </w:tc>
        <w:tc>
          <w:tcPr>
            <w:tcW w:w="755" w:type="dxa"/>
          </w:tcPr>
          <w:p w:rsidR="005165AD" w:rsidRPr="00BF219C" w:rsidRDefault="005165AD" w:rsidP="005165AD">
            <w:pPr>
              <w:pStyle w:val="BodyText2"/>
              <w:jc w:val="left"/>
              <w:rPr>
                <w:sz w:val="22"/>
                <w:szCs w:val="22"/>
              </w:rPr>
            </w:pPr>
            <w:r w:rsidRPr="00BF219C">
              <w:rPr>
                <w:sz w:val="22"/>
                <w:szCs w:val="22"/>
              </w:rPr>
              <w:t>2019</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5165AD" w:rsidP="005165AD">
            <w:pPr>
              <w:pStyle w:val="BodyText2"/>
              <w:jc w:val="left"/>
              <w:rPr>
                <w:sz w:val="22"/>
                <w:szCs w:val="22"/>
              </w:rPr>
            </w:pPr>
            <w:r w:rsidRPr="00BF219C">
              <w:rPr>
                <w:sz w:val="22"/>
                <w:szCs w:val="22"/>
              </w:rPr>
              <w:t>Total</w:t>
            </w:r>
          </w:p>
          <w:p w:rsidR="005165AD" w:rsidRPr="00BF219C" w:rsidRDefault="005165AD" w:rsidP="005165AD">
            <w:pPr>
              <w:pStyle w:val="BodyText2"/>
              <w:jc w:val="left"/>
              <w:rPr>
                <w:sz w:val="22"/>
                <w:szCs w:val="22"/>
              </w:rPr>
            </w:pPr>
          </w:p>
        </w:tc>
      </w:tr>
      <w:tr w:rsidR="005165AD" w:rsidRPr="00BF219C" w:rsidTr="00A67BC3">
        <w:tc>
          <w:tcPr>
            <w:tcW w:w="1423" w:type="dxa"/>
          </w:tcPr>
          <w:p w:rsidR="005165AD" w:rsidRPr="00BF219C" w:rsidRDefault="005165AD" w:rsidP="005165AD">
            <w:pPr>
              <w:pStyle w:val="BodyText2"/>
              <w:rPr>
                <w:sz w:val="22"/>
                <w:szCs w:val="22"/>
              </w:rPr>
            </w:pPr>
            <w:r w:rsidRPr="00BF219C">
              <w:rPr>
                <w:sz w:val="22"/>
                <w:szCs w:val="22"/>
              </w:rPr>
              <w:t>Housing</w:t>
            </w:r>
            <w:r w:rsidR="00370584" w:rsidRPr="00BF219C">
              <w:rPr>
                <w:sz w:val="22"/>
                <w:szCs w:val="22"/>
              </w:rPr>
              <w:t xml:space="preserve"> </w:t>
            </w:r>
            <w:r w:rsidRPr="00BF219C">
              <w:rPr>
                <w:sz w:val="22"/>
                <w:szCs w:val="22"/>
              </w:rPr>
              <w:t>Cases</w:t>
            </w: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r w:rsidRPr="00BF219C">
              <w:rPr>
                <w:sz w:val="22"/>
                <w:szCs w:val="22"/>
              </w:rPr>
              <w:t>0</w:t>
            </w:r>
          </w:p>
        </w:tc>
        <w:tc>
          <w:tcPr>
            <w:tcW w:w="755" w:type="dxa"/>
          </w:tcPr>
          <w:p w:rsidR="005165AD" w:rsidRPr="00BF219C" w:rsidRDefault="005165AD" w:rsidP="005165AD">
            <w:pPr>
              <w:pStyle w:val="BodyText2"/>
              <w:jc w:val="left"/>
              <w:rPr>
                <w:sz w:val="22"/>
                <w:szCs w:val="22"/>
              </w:rPr>
            </w:pPr>
            <w:r w:rsidRPr="00BF219C">
              <w:rPr>
                <w:sz w:val="22"/>
                <w:szCs w:val="22"/>
              </w:rPr>
              <w:t>4</w:t>
            </w:r>
          </w:p>
        </w:tc>
        <w:tc>
          <w:tcPr>
            <w:tcW w:w="755" w:type="dxa"/>
          </w:tcPr>
          <w:p w:rsidR="005165AD" w:rsidRPr="00BF219C" w:rsidRDefault="00F10C48" w:rsidP="005165AD">
            <w:pPr>
              <w:pStyle w:val="BodyText2"/>
              <w:jc w:val="left"/>
              <w:rPr>
                <w:sz w:val="22"/>
                <w:szCs w:val="22"/>
              </w:rPr>
            </w:pPr>
            <w:r w:rsidRPr="00BF219C">
              <w:rPr>
                <w:sz w:val="22"/>
                <w:szCs w:val="22"/>
              </w:rPr>
              <w:t xml:space="preserve">  7</w:t>
            </w:r>
          </w:p>
        </w:tc>
        <w:tc>
          <w:tcPr>
            <w:tcW w:w="755" w:type="dxa"/>
          </w:tcPr>
          <w:p w:rsidR="005165AD" w:rsidRPr="00BF219C" w:rsidRDefault="00F10C48" w:rsidP="00F10C48">
            <w:pPr>
              <w:pStyle w:val="BodyText2"/>
              <w:jc w:val="left"/>
              <w:rPr>
                <w:sz w:val="22"/>
                <w:szCs w:val="22"/>
              </w:rPr>
            </w:pPr>
            <w:r w:rsidRPr="00BF219C">
              <w:rPr>
                <w:sz w:val="22"/>
                <w:szCs w:val="22"/>
              </w:rPr>
              <w:t xml:space="preserve"> </w:t>
            </w:r>
            <w:r w:rsidR="005165AD" w:rsidRPr="00BF219C">
              <w:rPr>
                <w:sz w:val="22"/>
                <w:szCs w:val="22"/>
              </w:rPr>
              <w:t>1</w:t>
            </w:r>
            <w:r w:rsidRPr="00BF219C">
              <w:rPr>
                <w:sz w:val="22"/>
                <w:szCs w:val="22"/>
              </w:rPr>
              <w:t>7</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370584" w:rsidP="00F10C48">
            <w:pPr>
              <w:pStyle w:val="BodyText2"/>
              <w:jc w:val="left"/>
              <w:rPr>
                <w:sz w:val="22"/>
                <w:szCs w:val="22"/>
              </w:rPr>
            </w:pPr>
            <w:r w:rsidRPr="00BF219C">
              <w:rPr>
                <w:sz w:val="22"/>
                <w:szCs w:val="22"/>
              </w:rPr>
              <w:t xml:space="preserve"> </w:t>
            </w:r>
            <w:r w:rsidR="005165AD" w:rsidRPr="00BF219C">
              <w:rPr>
                <w:sz w:val="22"/>
                <w:szCs w:val="22"/>
              </w:rPr>
              <w:t>2</w:t>
            </w:r>
            <w:r w:rsidR="00F10C48" w:rsidRPr="00BF219C">
              <w:rPr>
                <w:sz w:val="22"/>
                <w:szCs w:val="22"/>
              </w:rPr>
              <w:t>8</w:t>
            </w:r>
          </w:p>
        </w:tc>
      </w:tr>
      <w:tr w:rsidR="005165AD" w:rsidRPr="00BF219C" w:rsidTr="00A67BC3">
        <w:trPr>
          <w:trHeight w:val="558"/>
        </w:trPr>
        <w:tc>
          <w:tcPr>
            <w:tcW w:w="1423" w:type="dxa"/>
          </w:tcPr>
          <w:p w:rsidR="005165AD" w:rsidRPr="00BF219C" w:rsidRDefault="005165AD" w:rsidP="005165AD">
            <w:pPr>
              <w:pStyle w:val="BodyText2"/>
              <w:rPr>
                <w:sz w:val="22"/>
                <w:szCs w:val="22"/>
              </w:rPr>
            </w:pP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p>
        </w:tc>
        <w:tc>
          <w:tcPr>
            <w:tcW w:w="755" w:type="dxa"/>
          </w:tcPr>
          <w:p w:rsidR="005165AD" w:rsidRPr="00BF219C" w:rsidRDefault="005165AD" w:rsidP="005165AD">
            <w:pPr>
              <w:pStyle w:val="BodyText2"/>
              <w:jc w:val="left"/>
              <w:rPr>
                <w:sz w:val="22"/>
                <w:szCs w:val="22"/>
              </w:rPr>
            </w:pPr>
          </w:p>
        </w:tc>
        <w:tc>
          <w:tcPr>
            <w:tcW w:w="755" w:type="dxa"/>
          </w:tcPr>
          <w:p w:rsidR="005165AD" w:rsidRPr="00BF219C" w:rsidRDefault="005165AD" w:rsidP="005165AD">
            <w:pPr>
              <w:pStyle w:val="BodyText2"/>
              <w:jc w:val="left"/>
              <w:rPr>
                <w:sz w:val="22"/>
                <w:szCs w:val="22"/>
              </w:rPr>
            </w:pPr>
          </w:p>
        </w:tc>
        <w:tc>
          <w:tcPr>
            <w:tcW w:w="755" w:type="dxa"/>
          </w:tcPr>
          <w:p w:rsidR="005165AD" w:rsidRPr="00BF219C" w:rsidRDefault="005165AD" w:rsidP="005165AD">
            <w:pPr>
              <w:pStyle w:val="BodyText2"/>
              <w:jc w:val="left"/>
              <w:rPr>
                <w:sz w:val="22"/>
                <w:szCs w:val="22"/>
              </w:rPr>
            </w:pP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5165AD" w:rsidP="005165AD">
            <w:pPr>
              <w:pStyle w:val="BodyText2"/>
              <w:jc w:val="left"/>
              <w:rPr>
                <w:sz w:val="22"/>
                <w:szCs w:val="22"/>
              </w:rPr>
            </w:pPr>
          </w:p>
        </w:tc>
      </w:tr>
      <w:tr w:rsidR="005165AD" w:rsidRPr="00BF219C" w:rsidTr="00A67BC3">
        <w:trPr>
          <w:trHeight w:val="783"/>
        </w:trPr>
        <w:tc>
          <w:tcPr>
            <w:tcW w:w="1423" w:type="dxa"/>
          </w:tcPr>
          <w:p w:rsidR="005165AD" w:rsidRPr="00BF219C" w:rsidRDefault="005165AD" w:rsidP="005165AD">
            <w:pPr>
              <w:pStyle w:val="BodyText2"/>
              <w:rPr>
                <w:sz w:val="22"/>
                <w:szCs w:val="22"/>
              </w:rPr>
            </w:pPr>
            <w:r w:rsidRPr="00BF219C">
              <w:rPr>
                <w:sz w:val="22"/>
                <w:szCs w:val="22"/>
              </w:rPr>
              <w:t>Response</w:t>
            </w:r>
          </w:p>
          <w:p w:rsidR="005165AD" w:rsidRPr="00BF219C" w:rsidRDefault="005165AD" w:rsidP="005165AD">
            <w:pPr>
              <w:pStyle w:val="BodyText2"/>
              <w:rPr>
                <w:sz w:val="22"/>
                <w:szCs w:val="22"/>
              </w:rPr>
            </w:pPr>
            <w:r w:rsidRPr="00BF219C">
              <w:rPr>
                <w:sz w:val="22"/>
                <w:szCs w:val="22"/>
              </w:rPr>
              <w:t>Monitoring</w:t>
            </w:r>
          </w:p>
          <w:p w:rsidR="005165AD" w:rsidRPr="00BF219C" w:rsidRDefault="005165AD" w:rsidP="005165AD">
            <w:pPr>
              <w:pStyle w:val="BodyText2"/>
              <w:rPr>
                <w:sz w:val="22"/>
                <w:szCs w:val="22"/>
              </w:rPr>
            </w:pP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r w:rsidRPr="00BF219C">
              <w:rPr>
                <w:sz w:val="22"/>
                <w:szCs w:val="22"/>
              </w:rPr>
              <w:t>0</w:t>
            </w:r>
          </w:p>
        </w:tc>
        <w:tc>
          <w:tcPr>
            <w:tcW w:w="755" w:type="dxa"/>
          </w:tcPr>
          <w:p w:rsidR="005165AD" w:rsidRPr="00BF219C" w:rsidRDefault="005165AD" w:rsidP="005165AD">
            <w:pPr>
              <w:pStyle w:val="BodyText2"/>
              <w:jc w:val="left"/>
              <w:rPr>
                <w:sz w:val="22"/>
                <w:szCs w:val="22"/>
              </w:rPr>
            </w:pPr>
            <w:r w:rsidRPr="00BF219C">
              <w:rPr>
                <w:sz w:val="22"/>
                <w:szCs w:val="22"/>
              </w:rPr>
              <w:t xml:space="preserve"> 2</w:t>
            </w:r>
          </w:p>
        </w:tc>
        <w:tc>
          <w:tcPr>
            <w:tcW w:w="755" w:type="dxa"/>
          </w:tcPr>
          <w:p w:rsidR="005165AD" w:rsidRPr="00BF219C" w:rsidRDefault="00F10C48" w:rsidP="005165AD">
            <w:pPr>
              <w:pStyle w:val="BodyText2"/>
              <w:jc w:val="left"/>
              <w:rPr>
                <w:sz w:val="22"/>
                <w:szCs w:val="22"/>
              </w:rPr>
            </w:pPr>
            <w:r w:rsidRPr="00BF219C">
              <w:rPr>
                <w:sz w:val="22"/>
                <w:szCs w:val="22"/>
              </w:rPr>
              <w:t>33</w:t>
            </w:r>
          </w:p>
        </w:tc>
        <w:tc>
          <w:tcPr>
            <w:tcW w:w="755" w:type="dxa"/>
          </w:tcPr>
          <w:p w:rsidR="005165AD" w:rsidRPr="00BF219C" w:rsidRDefault="00F10C48" w:rsidP="005165AD">
            <w:pPr>
              <w:pStyle w:val="BodyText2"/>
              <w:jc w:val="left"/>
              <w:rPr>
                <w:sz w:val="22"/>
                <w:szCs w:val="22"/>
              </w:rPr>
            </w:pPr>
            <w:r w:rsidRPr="00BF219C">
              <w:rPr>
                <w:sz w:val="22"/>
                <w:szCs w:val="22"/>
              </w:rPr>
              <w:t xml:space="preserve"> 88</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5165AD" w:rsidP="005165AD">
            <w:pPr>
              <w:pStyle w:val="BodyText2"/>
              <w:jc w:val="left"/>
              <w:rPr>
                <w:sz w:val="22"/>
                <w:szCs w:val="22"/>
              </w:rPr>
            </w:pPr>
            <w:r w:rsidRPr="00BF219C">
              <w:rPr>
                <w:sz w:val="22"/>
                <w:szCs w:val="22"/>
              </w:rPr>
              <w:t>12</w:t>
            </w:r>
            <w:r w:rsidR="00F10C48" w:rsidRPr="00BF219C">
              <w:rPr>
                <w:sz w:val="22"/>
                <w:szCs w:val="22"/>
              </w:rPr>
              <w:t>3</w:t>
            </w:r>
          </w:p>
          <w:p w:rsidR="005165AD" w:rsidRPr="00BF219C" w:rsidRDefault="005165AD" w:rsidP="005165AD">
            <w:pPr>
              <w:pStyle w:val="BodyText2"/>
              <w:jc w:val="left"/>
              <w:rPr>
                <w:sz w:val="22"/>
                <w:szCs w:val="22"/>
              </w:rPr>
            </w:pPr>
          </w:p>
        </w:tc>
      </w:tr>
      <w:tr w:rsidR="005165AD" w:rsidRPr="00BF219C" w:rsidTr="00A67BC3">
        <w:trPr>
          <w:trHeight w:val="558"/>
        </w:trPr>
        <w:tc>
          <w:tcPr>
            <w:tcW w:w="1423" w:type="dxa"/>
          </w:tcPr>
          <w:p w:rsidR="005165AD" w:rsidRPr="00BF219C" w:rsidRDefault="005165AD" w:rsidP="005165AD">
            <w:pPr>
              <w:pStyle w:val="BodyText2"/>
              <w:rPr>
                <w:sz w:val="22"/>
                <w:szCs w:val="22"/>
              </w:rPr>
            </w:pPr>
            <w:r w:rsidRPr="00BF219C">
              <w:rPr>
                <w:sz w:val="22"/>
                <w:szCs w:val="22"/>
              </w:rPr>
              <w:t>Mediation</w:t>
            </w: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r w:rsidRPr="00BF219C">
              <w:rPr>
                <w:sz w:val="22"/>
                <w:szCs w:val="22"/>
              </w:rPr>
              <w:t>0</w:t>
            </w:r>
          </w:p>
        </w:tc>
        <w:tc>
          <w:tcPr>
            <w:tcW w:w="755" w:type="dxa"/>
          </w:tcPr>
          <w:p w:rsidR="005165AD" w:rsidRPr="00BF219C" w:rsidRDefault="005165AD" w:rsidP="005165AD">
            <w:pPr>
              <w:pStyle w:val="BodyText2"/>
              <w:jc w:val="left"/>
              <w:rPr>
                <w:sz w:val="22"/>
                <w:szCs w:val="22"/>
              </w:rPr>
            </w:pPr>
            <w:r w:rsidRPr="00BF219C">
              <w:rPr>
                <w:sz w:val="22"/>
                <w:szCs w:val="22"/>
              </w:rPr>
              <w:t>0</w:t>
            </w:r>
          </w:p>
        </w:tc>
        <w:tc>
          <w:tcPr>
            <w:tcW w:w="755" w:type="dxa"/>
          </w:tcPr>
          <w:p w:rsidR="005165AD" w:rsidRPr="00BF219C" w:rsidRDefault="00F10C48" w:rsidP="005165AD">
            <w:pPr>
              <w:pStyle w:val="BodyText2"/>
              <w:jc w:val="left"/>
              <w:rPr>
                <w:sz w:val="22"/>
                <w:szCs w:val="22"/>
              </w:rPr>
            </w:pPr>
            <w:r w:rsidRPr="00BF219C">
              <w:rPr>
                <w:sz w:val="22"/>
                <w:szCs w:val="22"/>
              </w:rPr>
              <w:t xml:space="preserve">  0</w:t>
            </w:r>
          </w:p>
        </w:tc>
        <w:tc>
          <w:tcPr>
            <w:tcW w:w="755" w:type="dxa"/>
          </w:tcPr>
          <w:p w:rsidR="005165AD" w:rsidRPr="00BF219C" w:rsidRDefault="00F10C48" w:rsidP="005165AD">
            <w:pPr>
              <w:pStyle w:val="BodyText2"/>
              <w:jc w:val="left"/>
              <w:rPr>
                <w:sz w:val="22"/>
                <w:szCs w:val="22"/>
              </w:rPr>
            </w:pPr>
            <w:r w:rsidRPr="00BF219C">
              <w:rPr>
                <w:sz w:val="22"/>
                <w:szCs w:val="22"/>
              </w:rPr>
              <w:t xml:space="preserve">   9</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370584" w:rsidP="005165AD">
            <w:pPr>
              <w:pStyle w:val="BodyText2"/>
              <w:jc w:val="left"/>
              <w:rPr>
                <w:sz w:val="22"/>
                <w:szCs w:val="22"/>
              </w:rPr>
            </w:pPr>
            <w:r w:rsidRPr="00BF219C">
              <w:rPr>
                <w:sz w:val="22"/>
                <w:szCs w:val="22"/>
              </w:rPr>
              <w:t xml:space="preserve">   </w:t>
            </w:r>
            <w:r w:rsidR="00F10C48" w:rsidRPr="00BF219C">
              <w:rPr>
                <w:sz w:val="22"/>
                <w:szCs w:val="22"/>
              </w:rPr>
              <w:t>9</w:t>
            </w:r>
          </w:p>
          <w:p w:rsidR="005165AD" w:rsidRPr="00BF219C" w:rsidRDefault="005165AD" w:rsidP="005165AD">
            <w:pPr>
              <w:pStyle w:val="BodyText2"/>
              <w:jc w:val="left"/>
              <w:rPr>
                <w:sz w:val="22"/>
                <w:szCs w:val="22"/>
              </w:rPr>
            </w:pPr>
          </w:p>
        </w:tc>
      </w:tr>
      <w:tr w:rsidR="005165AD" w:rsidRPr="00BF219C" w:rsidTr="00A67BC3">
        <w:tc>
          <w:tcPr>
            <w:tcW w:w="1423" w:type="dxa"/>
          </w:tcPr>
          <w:p w:rsidR="005165AD" w:rsidRPr="00BF219C" w:rsidRDefault="005165AD" w:rsidP="005165AD">
            <w:pPr>
              <w:pStyle w:val="BodyText2"/>
              <w:rPr>
                <w:sz w:val="22"/>
                <w:szCs w:val="22"/>
              </w:rPr>
            </w:pPr>
            <w:r w:rsidRPr="00BF219C">
              <w:rPr>
                <w:sz w:val="22"/>
                <w:szCs w:val="22"/>
              </w:rPr>
              <w:t>Pending</w:t>
            </w:r>
          </w:p>
          <w:p w:rsidR="005165AD" w:rsidRPr="00BF219C" w:rsidRDefault="005165AD" w:rsidP="005165AD">
            <w:pPr>
              <w:pStyle w:val="BodyText2"/>
              <w:rPr>
                <w:sz w:val="22"/>
                <w:szCs w:val="22"/>
              </w:rPr>
            </w:pPr>
            <w:r w:rsidRPr="00BF219C">
              <w:rPr>
                <w:sz w:val="22"/>
                <w:szCs w:val="22"/>
              </w:rPr>
              <w:t>Assignment</w:t>
            </w:r>
          </w:p>
          <w:p w:rsidR="005165AD" w:rsidRPr="00BF219C" w:rsidRDefault="005165AD" w:rsidP="005165AD">
            <w:pPr>
              <w:pStyle w:val="BodyText2"/>
              <w:rPr>
                <w:sz w:val="22"/>
                <w:szCs w:val="22"/>
              </w:rPr>
            </w:pP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r w:rsidRPr="00BF219C">
              <w:rPr>
                <w:sz w:val="22"/>
                <w:szCs w:val="22"/>
              </w:rPr>
              <w:t>0</w:t>
            </w:r>
          </w:p>
        </w:tc>
        <w:tc>
          <w:tcPr>
            <w:tcW w:w="755" w:type="dxa"/>
          </w:tcPr>
          <w:p w:rsidR="005165AD" w:rsidRPr="00BF219C" w:rsidRDefault="00F10C48" w:rsidP="005165AD">
            <w:pPr>
              <w:pStyle w:val="BodyText2"/>
              <w:jc w:val="left"/>
              <w:rPr>
                <w:sz w:val="22"/>
                <w:szCs w:val="22"/>
              </w:rPr>
            </w:pPr>
            <w:r w:rsidRPr="00BF219C">
              <w:rPr>
                <w:sz w:val="22"/>
                <w:szCs w:val="22"/>
              </w:rPr>
              <w:t>6</w:t>
            </w:r>
          </w:p>
        </w:tc>
        <w:tc>
          <w:tcPr>
            <w:tcW w:w="755" w:type="dxa"/>
          </w:tcPr>
          <w:p w:rsidR="005165AD" w:rsidRPr="00BF219C" w:rsidRDefault="005165AD" w:rsidP="00F10C48">
            <w:pPr>
              <w:pStyle w:val="BodyText2"/>
              <w:jc w:val="left"/>
              <w:rPr>
                <w:sz w:val="22"/>
                <w:szCs w:val="22"/>
              </w:rPr>
            </w:pPr>
            <w:r w:rsidRPr="00BF219C">
              <w:rPr>
                <w:sz w:val="22"/>
                <w:szCs w:val="22"/>
              </w:rPr>
              <w:t>3</w:t>
            </w:r>
            <w:r w:rsidR="00F10C48" w:rsidRPr="00BF219C">
              <w:rPr>
                <w:sz w:val="22"/>
                <w:szCs w:val="22"/>
              </w:rPr>
              <w:t>9</w:t>
            </w:r>
          </w:p>
        </w:tc>
        <w:tc>
          <w:tcPr>
            <w:tcW w:w="755" w:type="dxa"/>
          </w:tcPr>
          <w:p w:rsidR="005165AD" w:rsidRPr="00BF219C" w:rsidRDefault="00F10C48" w:rsidP="005165AD">
            <w:pPr>
              <w:pStyle w:val="BodyText2"/>
              <w:jc w:val="left"/>
              <w:rPr>
                <w:sz w:val="22"/>
                <w:szCs w:val="22"/>
              </w:rPr>
            </w:pPr>
            <w:r w:rsidRPr="00BF219C">
              <w:rPr>
                <w:sz w:val="22"/>
                <w:szCs w:val="22"/>
              </w:rPr>
              <w:t xml:space="preserve"> 10</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F10C48" w:rsidP="00F10C48">
            <w:pPr>
              <w:pStyle w:val="BodyText2"/>
              <w:jc w:val="left"/>
              <w:rPr>
                <w:sz w:val="22"/>
                <w:szCs w:val="22"/>
              </w:rPr>
            </w:pPr>
            <w:r w:rsidRPr="00BF219C">
              <w:rPr>
                <w:sz w:val="22"/>
                <w:szCs w:val="22"/>
              </w:rPr>
              <w:t xml:space="preserve"> 55</w:t>
            </w:r>
          </w:p>
        </w:tc>
      </w:tr>
      <w:tr w:rsidR="005165AD" w:rsidRPr="00BF219C" w:rsidTr="00A67BC3">
        <w:tc>
          <w:tcPr>
            <w:tcW w:w="1423" w:type="dxa"/>
          </w:tcPr>
          <w:p w:rsidR="005165AD" w:rsidRPr="00BF219C" w:rsidRDefault="005165AD" w:rsidP="005165AD">
            <w:pPr>
              <w:pStyle w:val="BodyText2"/>
              <w:rPr>
                <w:sz w:val="22"/>
                <w:szCs w:val="22"/>
              </w:rPr>
            </w:pPr>
            <w:r w:rsidRPr="00BF219C">
              <w:rPr>
                <w:sz w:val="22"/>
                <w:szCs w:val="22"/>
              </w:rPr>
              <w:t>Active</w:t>
            </w:r>
          </w:p>
          <w:p w:rsidR="005165AD" w:rsidRPr="00BF219C" w:rsidRDefault="005165AD" w:rsidP="005165AD">
            <w:pPr>
              <w:pStyle w:val="BodyText2"/>
              <w:rPr>
                <w:sz w:val="22"/>
                <w:szCs w:val="22"/>
              </w:rPr>
            </w:pPr>
            <w:r w:rsidRPr="00BF219C">
              <w:rPr>
                <w:sz w:val="22"/>
                <w:szCs w:val="22"/>
              </w:rPr>
              <w:t>Investigation</w:t>
            </w: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F10C48" w:rsidP="005165AD">
            <w:pPr>
              <w:pStyle w:val="BodyText2"/>
              <w:jc w:val="left"/>
              <w:rPr>
                <w:sz w:val="22"/>
                <w:szCs w:val="22"/>
              </w:rPr>
            </w:pPr>
            <w:r w:rsidRPr="00BF219C">
              <w:rPr>
                <w:sz w:val="22"/>
                <w:szCs w:val="22"/>
              </w:rPr>
              <w:t>1</w:t>
            </w:r>
          </w:p>
        </w:tc>
        <w:tc>
          <w:tcPr>
            <w:tcW w:w="755" w:type="dxa"/>
          </w:tcPr>
          <w:p w:rsidR="005165AD" w:rsidRPr="00BF219C" w:rsidRDefault="00F10C48" w:rsidP="005165AD">
            <w:pPr>
              <w:pStyle w:val="BodyText2"/>
              <w:jc w:val="left"/>
              <w:rPr>
                <w:sz w:val="22"/>
                <w:szCs w:val="22"/>
              </w:rPr>
            </w:pPr>
            <w:r w:rsidRPr="00BF219C">
              <w:rPr>
                <w:sz w:val="22"/>
                <w:szCs w:val="22"/>
              </w:rPr>
              <w:t>6</w:t>
            </w:r>
          </w:p>
        </w:tc>
        <w:tc>
          <w:tcPr>
            <w:tcW w:w="755" w:type="dxa"/>
          </w:tcPr>
          <w:p w:rsidR="005165AD" w:rsidRPr="00BF219C" w:rsidRDefault="00F10C48" w:rsidP="005165AD">
            <w:pPr>
              <w:pStyle w:val="BodyText2"/>
              <w:jc w:val="left"/>
              <w:rPr>
                <w:sz w:val="22"/>
                <w:szCs w:val="22"/>
              </w:rPr>
            </w:pPr>
            <w:r w:rsidRPr="00BF219C">
              <w:rPr>
                <w:sz w:val="22"/>
                <w:szCs w:val="22"/>
              </w:rPr>
              <w:t>15</w:t>
            </w:r>
          </w:p>
        </w:tc>
        <w:tc>
          <w:tcPr>
            <w:tcW w:w="755" w:type="dxa"/>
          </w:tcPr>
          <w:p w:rsidR="005165AD" w:rsidRPr="00BF219C" w:rsidRDefault="00F10C48" w:rsidP="00F10C48">
            <w:pPr>
              <w:pStyle w:val="BodyText2"/>
              <w:jc w:val="left"/>
              <w:rPr>
                <w:sz w:val="22"/>
                <w:szCs w:val="22"/>
              </w:rPr>
            </w:pPr>
            <w:r w:rsidRPr="00BF219C">
              <w:rPr>
                <w:sz w:val="22"/>
                <w:szCs w:val="22"/>
              </w:rPr>
              <w:t xml:space="preserve"> </w:t>
            </w:r>
            <w:r w:rsidR="005165AD" w:rsidRPr="00BF219C">
              <w:rPr>
                <w:sz w:val="22"/>
                <w:szCs w:val="22"/>
              </w:rPr>
              <w:t>1</w:t>
            </w:r>
            <w:r w:rsidRPr="00BF219C">
              <w:rPr>
                <w:sz w:val="22"/>
                <w:szCs w:val="22"/>
              </w:rPr>
              <w:t>1</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F10C48" w:rsidP="00F10C48">
            <w:pPr>
              <w:pStyle w:val="BodyText2"/>
              <w:jc w:val="left"/>
              <w:rPr>
                <w:sz w:val="22"/>
                <w:szCs w:val="22"/>
              </w:rPr>
            </w:pPr>
            <w:r w:rsidRPr="00BF219C">
              <w:rPr>
                <w:sz w:val="22"/>
                <w:szCs w:val="22"/>
              </w:rPr>
              <w:t xml:space="preserve"> 33</w:t>
            </w:r>
          </w:p>
        </w:tc>
      </w:tr>
      <w:tr w:rsidR="00BF219C" w:rsidRPr="00BF219C" w:rsidTr="00A67BC3">
        <w:tc>
          <w:tcPr>
            <w:tcW w:w="1423" w:type="dxa"/>
          </w:tcPr>
          <w:p w:rsidR="005165AD" w:rsidRPr="00BF219C" w:rsidRDefault="005165AD" w:rsidP="005165AD">
            <w:pPr>
              <w:pStyle w:val="BodyText2"/>
              <w:rPr>
                <w:sz w:val="22"/>
                <w:szCs w:val="22"/>
              </w:rPr>
            </w:pPr>
          </w:p>
          <w:p w:rsidR="005165AD" w:rsidRPr="00BF219C" w:rsidRDefault="005165AD" w:rsidP="005165AD">
            <w:pPr>
              <w:pStyle w:val="BodyText2"/>
              <w:rPr>
                <w:b/>
                <w:sz w:val="22"/>
                <w:szCs w:val="22"/>
              </w:rPr>
            </w:pPr>
            <w:r w:rsidRPr="00BF219C">
              <w:rPr>
                <w:b/>
                <w:sz w:val="22"/>
                <w:szCs w:val="22"/>
              </w:rPr>
              <w:t>TOTAL</w:t>
            </w:r>
          </w:p>
        </w:tc>
        <w:tc>
          <w:tcPr>
            <w:tcW w:w="1080" w:type="dxa"/>
          </w:tcPr>
          <w:p w:rsidR="005165AD" w:rsidRPr="00BF219C" w:rsidRDefault="005165AD" w:rsidP="005165AD">
            <w:pPr>
              <w:pStyle w:val="BodyText2"/>
              <w:jc w:val="left"/>
              <w:rPr>
                <w:sz w:val="22"/>
                <w:szCs w:val="22"/>
              </w:rPr>
            </w:pPr>
          </w:p>
        </w:tc>
        <w:tc>
          <w:tcPr>
            <w:tcW w:w="900" w:type="dxa"/>
          </w:tcPr>
          <w:p w:rsidR="005165AD" w:rsidRPr="00BF219C" w:rsidRDefault="005165AD" w:rsidP="005165AD">
            <w:pPr>
              <w:pStyle w:val="BodyText2"/>
              <w:jc w:val="left"/>
              <w:rPr>
                <w:sz w:val="22"/>
                <w:szCs w:val="22"/>
              </w:rPr>
            </w:pPr>
          </w:p>
          <w:p w:rsidR="005165AD" w:rsidRPr="00BF219C" w:rsidRDefault="005165AD" w:rsidP="005165AD">
            <w:pPr>
              <w:pStyle w:val="BodyText2"/>
              <w:jc w:val="left"/>
              <w:rPr>
                <w:sz w:val="22"/>
                <w:szCs w:val="22"/>
              </w:rPr>
            </w:pPr>
            <w:r w:rsidRPr="00BF219C">
              <w:rPr>
                <w:sz w:val="22"/>
                <w:szCs w:val="22"/>
              </w:rPr>
              <w:t>1</w:t>
            </w:r>
          </w:p>
        </w:tc>
        <w:tc>
          <w:tcPr>
            <w:tcW w:w="755" w:type="dxa"/>
          </w:tcPr>
          <w:p w:rsidR="005165AD" w:rsidRPr="00BF219C" w:rsidRDefault="005165AD" w:rsidP="005165AD">
            <w:pPr>
              <w:pStyle w:val="BodyText2"/>
              <w:jc w:val="left"/>
              <w:rPr>
                <w:sz w:val="22"/>
                <w:szCs w:val="22"/>
              </w:rPr>
            </w:pPr>
          </w:p>
          <w:p w:rsidR="005165AD" w:rsidRPr="00BF219C" w:rsidRDefault="00F10C48" w:rsidP="005165AD">
            <w:pPr>
              <w:pStyle w:val="BodyText2"/>
              <w:jc w:val="left"/>
              <w:rPr>
                <w:sz w:val="22"/>
                <w:szCs w:val="22"/>
              </w:rPr>
            </w:pPr>
            <w:r w:rsidRPr="00BF219C">
              <w:rPr>
                <w:sz w:val="22"/>
                <w:szCs w:val="22"/>
              </w:rPr>
              <w:t>18</w:t>
            </w:r>
          </w:p>
        </w:tc>
        <w:tc>
          <w:tcPr>
            <w:tcW w:w="755" w:type="dxa"/>
          </w:tcPr>
          <w:p w:rsidR="005165AD" w:rsidRPr="00BF219C" w:rsidRDefault="005165AD" w:rsidP="005165AD">
            <w:pPr>
              <w:pStyle w:val="BodyText2"/>
              <w:jc w:val="left"/>
              <w:rPr>
                <w:sz w:val="22"/>
                <w:szCs w:val="22"/>
              </w:rPr>
            </w:pPr>
          </w:p>
          <w:p w:rsidR="005165AD" w:rsidRPr="00BF219C" w:rsidRDefault="00F10C48" w:rsidP="005165AD">
            <w:pPr>
              <w:pStyle w:val="BodyText2"/>
              <w:jc w:val="left"/>
              <w:rPr>
                <w:sz w:val="22"/>
                <w:szCs w:val="22"/>
              </w:rPr>
            </w:pPr>
            <w:r w:rsidRPr="00BF219C">
              <w:rPr>
                <w:sz w:val="22"/>
                <w:szCs w:val="22"/>
              </w:rPr>
              <w:t>94</w:t>
            </w:r>
          </w:p>
        </w:tc>
        <w:tc>
          <w:tcPr>
            <w:tcW w:w="755" w:type="dxa"/>
          </w:tcPr>
          <w:p w:rsidR="005165AD" w:rsidRPr="00BF219C" w:rsidRDefault="005165AD" w:rsidP="005165AD">
            <w:pPr>
              <w:pStyle w:val="BodyText2"/>
              <w:jc w:val="left"/>
              <w:rPr>
                <w:sz w:val="22"/>
                <w:szCs w:val="22"/>
              </w:rPr>
            </w:pPr>
          </w:p>
          <w:p w:rsidR="005165AD" w:rsidRPr="00BF219C" w:rsidRDefault="005165AD" w:rsidP="00F10C48">
            <w:pPr>
              <w:pStyle w:val="BodyText2"/>
              <w:jc w:val="left"/>
              <w:rPr>
                <w:sz w:val="22"/>
                <w:szCs w:val="22"/>
              </w:rPr>
            </w:pPr>
            <w:r w:rsidRPr="00BF219C">
              <w:rPr>
                <w:sz w:val="22"/>
                <w:szCs w:val="22"/>
              </w:rPr>
              <w:t>1</w:t>
            </w:r>
            <w:r w:rsidR="00F10C48" w:rsidRPr="00BF219C">
              <w:rPr>
                <w:sz w:val="22"/>
                <w:szCs w:val="22"/>
              </w:rPr>
              <w:t>35</w:t>
            </w:r>
          </w:p>
        </w:tc>
        <w:tc>
          <w:tcPr>
            <w:tcW w:w="755" w:type="dxa"/>
          </w:tcPr>
          <w:p w:rsidR="005165AD" w:rsidRPr="00BF219C" w:rsidRDefault="005165AD" w:rsidP="005165AD">
            <w:pPr>
              <w:pStyle w:val="BodyText2"/>
              <w:jc w:val="left"/>
              <w:rPr>
                <w:sz w:val="22"/>
                <w:szCs w:val="22"/>
              </w:rPr>
            </w:pPr>
          </w:p>
        </w:tc>
        <w:tc>
          <w:tcPr>
            <w:tcW w:w="1045" w:type="dxa"/>
          </w:tcPr>
          <w:p w:rsidR="005165AD" w:rsidRPr="00BF219C" w:rsidRDefault="005165AD" w:rsidP="005165AD">
            <w:pPr>
              <w:pStyle w:val="BodyText2"/>
              <w:jc w:val="left"/>
              <w:rPr>
                <w:sz w:val="22"/>
                <w:szCs w:val="22"/>
              </w:rPr>
            </w:pPr>
          </w:p>
          <w:p w:rsidR="005165AD" w:rsidRPr="00BF219C" w:rsidRDefault="005165AD" w:rsidP="00F10C48">
            <w:pPr>
              <w:pStyle w:val="BodyText2"/>
              <w:jc w:val="left"/>
              <w:rPr>
                <w:sz w:val="22"/>
                <w:szCs w:val="22"/>
              </w:rPr>
            </w:pPr>
            <w:r w:rsidRPr="00BF219C">
              <w:rPr>
                <w:sz w:val="22"/>
                <w:szCs w:val="22"/>
              </w:rPr>
              <w:t>24</w:t>
            </w:r>
            <w:r w:rsidR="00F10C48" w:rsidRPr="00BF219C">
              <w:rPr>
                <w:sz w:val="22"/>
                <w:szCs w:val="22"/>
              </w:rPr>
              <w:t>8</w:t>
            </w:r>
          </w:p>
        </w:tc>
      </w:tr>
    </w:tbl>
    <w:p w:rsidR="005165AD" w:rsidRPr="00BF219C" w:rsidRDefault="005165AD" w:rsidP="005165AD">
      <w:pPr>
        <w:pStyle w:val="BodyText2"/>
        <w:spacing w:before="0"/>
        <w:jc w:val="left"/>
      </w:pPr>
    </w:p>
    <w:p w:rsidR="005165AD" w:rsidRPr="00BF219C" w:rsidRDefault="005165AD" w:rsidP="005165AD">
      <w:pPr>
        <w:pStyle w:val="BodyText2"/>
        <w:spacing w:before="0"/>
        <w:jc w:val="left"/>
      </w:pPr>
      <w:r w:rsidRPr="00BF219C">
        <w:t xml:space="preserve">DED </w:t>
      </w:r>
      <w:proofErr w:type="spellStart"/>
      <w:r w:rsidRPr="00BF219C">
        <w:t>Kawatachi</w:t>
      </w:r>
      <w:proofErr w:type="spellEnd"/>
      <w:r w:rsidRPr="00BF219C">
        <w:t xml:space="preserve"> reported that in one employment case and one housing case an enforcement attorney was pursuing subpoena enforcement to compel a response to a complaint.</w:t>
      </w:r>
    </w:p>
    <w:p w:rsidR="005165AD" w:rsidRPr="00BF219C" w:rsidRDefault="005165AD" w:rsidP="005165AD">
      <w:pPr>
        <w:pStyle w:val="BodyText2"/>
      </w:pPr>
    </w:p>
    <w:p w:rsidR="005165AD" w:rsidRPr="00BF219C" w:rsidRDefault="005165AD" w:rsidP="005165AD">
      <w:pPr>
        <w:pStyle w:val="BodyText2"/>
      </w:pPr>
      <w:r w:rsidRPr="00BF219C">
        <w:t xml:space="preserve">DED </w:t>
      </w:r>
      <w:proofErr w:type="spellStart"/>
      <w:r w:rsidRPr="00BF219C">
        <w:t>Kawatachi</w:t>
      </w:r>
      <w:proofErr w:type="spellEnd"/>
      <w:r w:rsidRPr="00BF219C">
        <w:t xml:space="preserve"> noted that the fiscal year data comparison for the past ten fiscal years, FY 2009 through FY 2018, was unchanged, and that FY 2019 data would be added when it was prepared for the FY 2019 annual report.</w:t>
      </w:r>
    </w:p>
    <w:p w:rsidR="005165AD" w:rsidRPr="00BF219C" w:rsidRDefault="005165AD" w:rsidP="005165AD">
      <w:pPr>
        <w:pStyle w:val="BodyText2"/>
      </w:pPr>
    </w:p>
    <w:p w:rsidR="005165AD" w:rsidRPr="00BF219C" w:rsidRDefault="005165AD" w:rsidP="005165AD">
      <w:pPr>
        <w:pStyle w:val="BodyText2"/>
      </w:pPr>
      <w:r w:rsidRPr="00BF219C">
        <w:t xml:space="preserve">DED </w:t>
      </w:r>
      <w:proofErr w:type="spellStart"/>
      <w:r w:rsidRPr="00BF219C">
        <w:t>Kawatachi</w:t>
      </w:r>
      <w:proofErr w:type="spellEnd"/>
      <w:r w:rsidRPr="00BF219C">
        <w:t xml:space="preserve"> went over the year-to-date data for the past five fiscal years:</w:t>
      </w:r>
    </w:p>
    <w:p w:rsidR="005165AD" w:rsidRPr="00BF219C" w:rsidRDefault="005165AD" w:rsidP="005165AD">
      <w:pPr>
        <w:pStyle w:val="BodyText2"/>
      </w:pPr>
    </w:p>
    <w:tbl>
      <w:tblPr>
        <w:tblpPr w:leftFromText="180" w:rightFromText="180" w:vertAnchor="text" w:tblpY="1"/>
        <w:tblOverlap w:val="never"/>
        <w:tblW w:w="9645" w:type="dxa"/>
        <w:tblLook w:val="0000" w:firstRow="0" w:lastRow="0" w:firstColumn="0" w:lastColumn="0" w:noHBand="0" w:noVBand="0"/>
      </w:tblPr>
      <w:tblGrid>
        <w:gridCol w:w="2265"/>
        <w:gridCol w:w="1440"/>
        <w:gridCol w:w="1660"/>
        <w:gridCol w:w="1444"/>
        <w:gridCol w:w="1530"/>
        <w:gridCol w:w="1216"/>
        <w:gridCol w:w="90"/>
      </w:tblGrid>
      <w:tr w:rsidR="005165AD" w:rsidRPr="00BF219C" w:rsidTr="00A67BC3">
        <w:trPr>
          <w:gridAfter w:val="1"/>
          <w:wAfter w:w="90" w:type="dxa"/>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p w:rsidR="005165AD" w:rsidRPr="00BF219C" w:rsidRDefault="005165AD" w:rsidP="005165AD">
            <w:pPr>
              <w:pStyle w:val="BodyText2"/>
              <w:spacing w:before="0"/>
              <w:rPr>
                <w:b/>
                <w:bCs/>
              </w:rPr>
            </w:pPr>
            <w:r w:rsidRPr="00BF219C">
              <w:rPr>
                <w:b/>
                <w:bCs/>
              </w:rPr>
              <w:t>Category</w:t>
            </w:r>
          </w:p>
        </w:tc>
        <w:tc>
          <w:tcPr>
            <w:tcW w:w="144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r w:rsidRPr="00BF219C">
              <w:rPr>
                <w:b/>
                <w:bCs/>
              </w:rPr>
              <w:t xml:space="preserve">7/1/15 – </w:t>
            </w:r>
          </w:p>
          <w:p w:rsidR="005165AD" w:rsidRPr="00BF219C" w:rsidRDefault="00B25E4F" w:rsidP="005165AD">
            <w:pPr>
              <w:pStyle w:val="BodyText2"/>
              <w:spacing w:before="0"/>
              <w:rPr>
                <w:b/>
                <w:bCs/>
              </w:rPr>
            </w:pPr>
            <w:r w:rsidRPr="00BF219C">
              <w:rPr>
                <w:b/>
                <w:bCs/>
              </w:rPr>
              <w:t>9/13</w:t>
            </w:r>
            <w:r w:rsidR="005165AD" w:rsidRPr="00BF219C">
              <w:rPr>
                <w:b/>
                <w:bCs/>
              </w:rPr>
              <w:t>/15</w:t>
            </w:r>
          </w:p>
        </w:tc>
        <w:tc>
          <w:tcPr>
            <w:tcW w:w="166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r w:rsidRPr="00BF219C">
              <w:rPr>
                <w:b/>
                <w:bCs/>
              </w:rPr>
              <w:t xml:space="preserve">7/1/16 – </w:t>
            </w:r>
          </w:p>
          <w:p w:rsidR="005165AD" w:rsidRPr="00BF219C" w:rsidRDefault="00B25E4F" w:rsidP="005165AD">
            <w:pPr>
              <w:pStyle w:val="BodyText2"/>
              <w:spacing w:before="0"/>
              <w:rPr>
                <w:b/>
                <w:bCs/>
              </w:rPr>
            </w:pPr>
            <w:r w:rsidRPr="00BF219C">
              <w:rPr>
                <w:b/>
                <w:bCs/>
              </w:rPr>
              <w:t>9/13</w:t>
            </w:r>
            <w:r w:rsidR="005165AD" w:rsidRPr="00BF219C">
              <w:rPr>
                <w:b/>
                <w:bCs/>
              </w:rPr>
              <w:t>/16</w:t>
            </w:r>
          </w:p>
        </w:tc>
        <w:tc>
          <w:tcPr>
            <w:tcW w:w="1444" w:type="dxa"/>
            <w:tcBorders>
              <w:top w:val="nil"/>
              <w:left w:val="nil"/>
              <w:bottom w:val="nil"/>
              <w:right w:val="nil"/>
            </w:tcBorders>
            <w:vAlign w:val="bottom"/>
          </w:tcPr>
          <w:p w:rsidR="005165AD" w:rsidRPr="00BF219C" w:rsidRDefault="005165AD" w:rsidP="005165AD">
            <w:pPr>
              <w:pStyle w:val="BodyText2"/>
              <w:spacing w:before="0"/>
              <w:rPr>
                <w:b/>
                <w:bCs/>
              </w:rPr>
            </w:pPr>
            <w:r w:rsidRPr="00BF219C">
              <w:rPr>
                <w:b/>
                <w:bCs/>
              </w:rPr>
              <w:t xml:space="preserve">7/1/17 – </w:t>
            </w:r>
          </w:p>
          <w:p w:rsidR="005165AD" w:rsidRPr="00BF219C" w:rsidRDefault="00B25E4F" w:rsidP="005165AD">
            <w:pPr>
              <w:pStyle w:val="BodyText2"/>
              <w:spacing w:before="0"/>
              <w:rPr>
                <w:b/>
                <w:bCs/>
              </w:rPr>
            </w:pPr>
            <w:r w:rsidRPr="00BF219C">
              <w:rPr>
                <w:b/>
                <w:bCs/>
              </w:rPr>
              <w:t>9/13</w:t>
            </w:r>
            <w:r w:rsidR="005165AD" w:rsidRPr="00BF219C">
              <w:rPr>
                <w:b/>
                <w:bCs/>
              </w:rPr>
              <w:t>/17</w:t>
            </w:r>
          </w:p>
        </w:tc>
        <w:tc>
          <w:tcPr>
            <w:tcW w:w="153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r w:rsidRPr="00BF219C">
              <w:rPr>
                <w:b/>
                <w:bCs/>
              </w:rPr>
              <w:t xml:space="preserve">7/1/18 – </w:t>
            </w:r>
          </w:p>
          <w:p w:rsidR="005165AD" w:rsidRPr="00BF219C" w:rsidRDefault="005165AD" w:rsidP="005165AD">
            <w:pPr>
              <w:pStyle w:val="BodyText2"/>
              <w:spacing w:before="0"/>
              <w:rPr>
                <w:b/>
                <w:bCs/>
              </w:rPr>
            </w:pPr>
            <w:r w:rsidRPr="00BF219C">
              <w:rPr>
                <w:b/>
                <w:bCs/>
              </w:rPr>
              <w:t>7/9/18</w:t>
            </w:r>
          </w:p>
        </w:tc>
        <w:tc>
          <w:tcPr>
            <w:tcW w:w="1216" w:type="dxa"/>
            <w:vAlign w:val="bottom"/>
          </w:tcPr>
          <w:p w:rsidR="005165AD" w:rsidRPr="00BF219C" w:rsidRDefault="005165AD" w:rsidP="005165AD">
            <w:pPr>
              <w:pStyle w:val="BodyText2"/>
              <w:spacing w:before="0"/>
              <w:rPr>
                <w:b/>
                <w:bCs/>
              </w:rPr>
            </w:pPr>
            <w:r w:rsidRPr="00BF219C">
              <w:rPr>
                <w:b/>
                <w:bCs/>
              </w:rPr>
              <w:t>7/1/19 –</w:t>
            </w:r>
          </w:p>
          <w:p w:rsidR="005165AD" w:rsidRPr="00BF219C" w:rsidRDefault="005165AD" w:rsidP="005165AD">
            <w:pPr>
              <w:pStyle w:val="BodyText2"/>
              <w:spacing w:before="0"/>
              <w:rPr>
                <w:b/>
                <w:bCs/>
              </w:rPr>
            </w:pPr>
            <w:r w:rsidRPr="00BF219C">
              <w:rPr>
                <w:b/>
                <w:bCs/>
              </w:rPr>
              <w:t>7/9/19</w:t>
            </w:r>
          </w:p>
        </w:tc>
      </w:tr>
      <w:tr w:rsidR="005165AD" w:rsidRPr="00BF219C" w:rsidTr="00A67BC3">
        <w:trPr>
          <w:gridAfter w:val="1"/>
          <w:wAfter w:w="90" w:type="dxa"/>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44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66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444" w:type="dxa"/>
            <w:tcBorders>
              <w:top w:val="nil"/>
              <w:left w:val="nil"/>
              <w:bottom w:val="nil"/>
              <w:right w:val="nil"/>
            </w:tcBorders>
            <w:vAlign w:val="bottom"/>
          </w:tcPr>
          <w:p w:rsidR="005165AD" w:rsidRPr="00BF219C" w:rsidRDefault="005165AD" w:rsidP="005165AD">
            <w:pPr>
              <w:pStyle w:val="BodyText2"/>
              <w:spacing w:before="0"/>
              <w:rPr>
                <w:b/>
                <w:bCs/>
              </w:rPr>
            </w:pPr>
          </w:p>
        </w:tc>
        <w:tc>
          <w:tcPr>
            <w:tcW w:w="153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216" w:type="dxa"/>
            <w:vAlign w:val="bottom"/>
          </w:tcPr>
          <w:p w:rsidR="005165AD" w:rsidRPr="00BF219C" w:rsidRDefault="005165AD" w:rsidP="005165AD">
            <w:pPr>
              <w:pStyle w:val="BodyText2"/>
              <w:spacing w:before="0"/>
              <w:rPr>
                <w:b/>
                <w:bCs/>
              </w:rPr>
            </w:pP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44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66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444" w:type="dxa"/>
            <w:tcBorders>
              <w:top w:val="nil"/>
              <w:left w:val="nil"/>
              <w:bottom w:val="nil"/>
              <w:right w:val="nil"/>
            </w:tcBorders>
            <w:vAlign w:val="bottom"/>
          </w:tcPr>
          <w:p w:rsidR="005165AD" w:rsidRPr="00BF219C" w:rsidRDefault="005165AD" w:rsidP="005165AD">
            <w:pPr>
              <w:pStyle w:val="BodyText2"/>
              <w:spacing w:before="0"/>
              <w:rPr>
                <w:b/>
                <w:bCs/>
              </w:rPr>
            </w:pPr>
          </w:p>
        </w:tc>
        <w:tc>
          <w:tcPr>
            <w:tcW w:w="1530" w:type="dxa"/>
            <w:tcBorders>
              <w:top w:val="nil"/>
              <w:left w:val="nil"/>
              <w:bottom w:val="nil"/>
              <w:right w:val="nil"/>
            </w:tcBorders>
            <w:shd w:val="clear" w:color="auto" w:fill="auto"/>
            <w:noWrap/>
            <w:vAlign w:val="bottom"/>
          </w:tcPr>
          <w:p w:rsidR="005165AD" w:rsidRPr="00BF219C" w:rsidRDefault="005165AD" w:rsidP="005165AD">
            <w:pPr>
              <w:pStyle w:val="BodyText2"/>
              <w:spacing w:before="0"/>
              <w:rPr>
                <w:b/>
                <w:bCs/>
              </w:rPr>
            </w:pPr>
          </w:p>
        </w:tc>
        <w:tc>
          <w:tcPr>
            <w:tcW w:w="1306" w:type="dxa"/>
            <w:gridSpan w:val="2"/>
            <w:vAlign w:val="bottom"/>
          </w:tcPr>
          <w:p w:rsidR="005165AD" w:rsidRPr="00BF219C" w:rsidRDefault="005165AD" w:rsidP="005165AD">
            <w:pPr>
              <w:pStyle w:val="BodyText2"/>
              <w:spacing w:before="0"/>
              <w:rPr>
                <w:b/>
                <w:bCs/>
              </w:rPr>
            </w:pP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r w:rsidRPr="00BF219C">
              <w:t>PCQ Received</w:t>
            </w:r>
          </w:p>
        </w:tc>
        <w:tc>
          <w:tcPr>
            <w:tcW w:w="144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162</w:t>
            </w:r>
          </w:p>
        </w:tc>
        <w:tc>
          <w:tcPr>
            <w:tcW w:w="166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152</w:t>
            </w:r>
          </w:p>
        </w:tc>
        <w:tc>
          <w:tcPr>
            <w:tcW w:w="1444" w:type="dxa"/>
            <w:tcBorders>
              <w:top w:val="nil"/>
              <w:left w:val="nil"/>
              <w:bottom w:val="nil"/>
              <w:right w:val="nil"/>
            </w:tcBorders>
            <w:vAlign w:val="bottom"/>
          </w:tcPr>
          <w:p w:rsidR="005165AD" w:rsidRPr="00BF219C" w:rsidRDefault="005165AD" w:rsidP="00B25E4F">
            <w:pPr>
              <w:pStyle w:val="BodyText2"/>
              <w:spacing w:before="0"/>
            </w:pPr>
            <w:r w:rsidRPr="00BF219C">
              <w:t xml:space="preserve">  </w:t>
            </w:r>
            <w:r w:rsidR="00B25E4F" w:rsidRPr="00BF219C">
              <w:t>117</w:t>
            </w:r>
          </w:p>
        </w:tc>
        <w:tc>
          <w:tcPr>
            <w:tcW w:w="153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122</w:t>
            </w:r>
          </w:p>
        </w:tc>
        <w:tc>
          <w:tcPr>
            <w:tcW w:w="1306" w:type="dxa"/>
            <w:gridSpan w:val="2"/>
            <w:vAlign w:val="bottom"/>
          </w:tcPr>
          <w:p w:rsidR="005165AD" w:rsidRPr="00BF219C" w:rsidRDefault="005165AD" w:rsidP="00B25E4F">
            <w:pPr>
              <w:pStyle w:val="BodyText2"/>
              <w:spacing w:before="0"/>
            </w:pPr>
            <w:r w:rsidRPr="00BF219C">
              <w:t xml:space="preserve">  </w:t>
            </w:r>
            <w:r w:rsidR="00B25E4F" w:rsidRPr="00BF219C">
              <w:t>140</w:t>
            </w: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r w:rsidRPr="00BF219C">
              <w:t>Intake D</w:t>
            </w:r>
            <w:bookmarkStart w:id="0" w:name="_GoBack"/>
            <w:bookmarkEnd w:id="0"/>
            <w:r w:rsidRPr="00BF219C">
              <w:t>ecision</w:t>
            </w:r>
          </w:p>
        </w:tc>
        <w:tc>
          <w:tcPr>
            <w:tcW w:w="144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126</w:t>
            </w:r>
          </w:p>
        </w:tc>
        <w:tc>
          <w:tcPr>
            <w:tcW w:w="166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147</w:t>
            </w:r>
          </w:p>
        </w:tc>
        <w:tc>
          <w:tcPr>
            <w:tcW w:w="1444" w:type="dxa"/>
            <w:tcBorders>
              <w:top w:val="nil"/>
              <w:left w:val="nil"/>
              <w:bottom w:val="nil"/>
              <w:right w:val="nil"/>
            </w:tcBorders>
            <w:vAlign w:val="bottom"/>
          </w:tcPr>
          <w:p w:rsidR="005165AD" w:rsidRPr="00BF219C" w:rsidRDefault="005165AD" w:rsidP="00B25E4F">
            <w:pPr>
              <w:pStyle w:val="BodyText2"/>
              <w:spacing w:before="0"/>
            </w:pPr>
            <w:r w:rsidRPr="00BF219C">
              <w:t xml:space="preserve">  </w:t>
            </w:r>
            <w:r w:rsidR="00B25E4F" w:rsidRPr="00BF219C">
              <w:t>122</w:t>
            </w:r>
          </w:p>
        </w:tc>
        <w:tc>
          <w:tcPr>
            <w:tcW w:w="153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103</w:t>
            </w:r>
          </w:p>
        </w:tc>
        <w:tc>
          <w:tcPr>
            <w:tcW w:w="1306" w:type="dxa"/>
            <w:gridSpan w:val="2"/>
            <w:vAlign w:val="bottom"/>
          </w:tcPr>
          <w:p w:rsidR="005165AD" w:rsidRPr="00BF219C" w:rsidRDefault="005165AD" w:rsidP="00B25E4F">
            <w:pPr>
              <w:pStyle w:val="BodyText2"/>
              <w:spacing w:before="0"/>
            </w:pPr>
            <w:r w:rsidRPr="00BF219C">
              <w:t xml:space="preserve">  </w:t>
            </w:r>
            <w:r w:rsidR="00B25E4F" w:rsidRPr="00BF219C">
              <w:t>119</w:t>
            </w: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r w:rsidRPr="00BF219C">
              <w:t>Complaint Filed</w:t>
            </w:r>
          </w:p>
        </w:tc>
        <w:tc>
          <w:tcPr>
            <w:tcW w:w="1440" w:type="dxa"/>
            <w:tcBorders>
              <w:top w:val="nil"/>
              <w:left w:val="nil"/>
              <w:bottom w:val="nil"/>
              <w:right w:val="nil"/>
            </w:tcBorders>
            <w:shd w:val="clear" w:color="auto" w:fill="auto"/>
            <w:noWrap/>
            <w:vAlign w:val="bottom"/>
          </w:tcPr>
          <w:p w:rsidR="005165AD" w:rsidRPr="00BF219C" w:rsidRDefault="00B25E4F" w:rsidP="00750DC2">
            <w:pPr>
              <w:pStyle w:val="BodyText2"/>
              <w:spacing w:before="0"/>
              <w:ind w:left="237"/>
            </w:pPr>
            <w:r w:rsidRPr="00BF219C">
              <w:t>63</w:t>
            </w:r>
          </w:p>
        </w:tc>
        <w:tc>
          <w:tcPr>
            <w:tcW w:w="1660" w:type="dxa"/>
            <w:tcBorders>
              <w:top w:val="nil"/>
              <w:left w:val="nil"/>
              <w:bottom w:val="nil"/>
              <w:right w:val="nil"/>
            </w:tcBorders>
            <w:shd w:val="clear" w:color="auto" w:fill="auto"/>
            <w:noWrap/>
            <w:vAlign w:val="bottom"/>
          </w:tcPr>
          <w:p w:rsidR="005165AD" w:rsidRPr="00BF219C" w:rsidRDefault="005165AD" w:rsidP="00750DC2">
            <w:pPr>
              <w:pStyle w:val="BodyText2"/>
              <w:spacing w:before="0"/>
            </w:pPr>
            <w:r w:rsidRPr="00BF219C">
              <w:t xml:space="preserve">  </w:t>
            </w:r>
            <w:r w:rsidR="00B25E4F" w:rsidRPr="00BF219C">
              <w:t xml:space="preserve"> 90</w:t>
            </w:r>
          </w:p>
        </w:tc>
        <w:tc>
          <w:tcPr>
            <w:tcW w:w="1444" w:type="dxa"/>
            <w:tcBorders>
              <w:top w:val="nil"/>
              <w:left w:val="nil"/>
              <w:bottom w:val="nil"/>
              <w:right w:val="nil"/>
            </w:tcBorders>
            <w:vAlign w:val="bottom"/>
          </w:tcPr>
          <w:p w:rsidR="005165AD" w:rsidRPr="00BF219C" w:rsidRDefault="005165AD" w:rsidP="00750DC2">
            <w:pPr>
              <w:pStyle w:val="BodyText2"/>
              <w:spacing w:before="0"/>
            </w:pPr>
            <w:r w:rsidRPr="00BF219C">
              <w:t xml:space="preserve">  </w:t>
            </w:r>
            <w:r w:rsidR="00B25E4F" w:rsidRPr="00BF219C">
              <w:t xml:space="preserve"> 64</w:t>
            </w:r>
          </w:p>
        </w:tc>
        <w:tc>
          <w:tcPr>
            <w:tcW w:w="1530" w:type="dxa"/>
            <w:tcBorders>
              <w:top w:val="nil"/>
              <w:left w:val="nil"/>
              <w:bottom w:val="nil"/>
              <w:right w:val="nil"/>
            </w:tcBorders>
            <w:shd w:val="clear" w:color="auto" w:fill="auto"/>
            <w:noWrap/>
            <w:vAlign w:val="bottom"/>
          </w:tcPr>
          <w:p w:rsidR="005165AD" w:rsidRPr="00BF219C" w:rsidRDefault="005165AD" w:rsidP="00750DC2">
            <w:pPr>
              <w:pStyle w:val="BodyText2"/>
              <w:spacing w:before="0"/>
            </w:pPr>
            <w:r w:rsidRPr="00BF219C">
              <w:t xml:space="preserve">  </w:t>
            </w:r>
            <w:r w:rsidR="00B25E4F" w:rsidRPr="00BF219C">
              <w:t xml:space="preserve"> 54</w:t>
            </w:r>
          </w:p>
        </w:tc>
        <w:tc>
          <w:tcPr>
            <w:tcW w:w="1306" w:type="dxa"/>
            <w:gridSpan w:val="2"/>
            <w:vAlign w:val="bottom"/>
          </w:tcPr>
          <w:p w:rsidR="005165AD" w:rsidRPr="00BF219C" w:rsidRDefault="005165AD" w:rsidP="00B25E4F">
            <w:pPr>
              <w:pStyle w:val="BodyText2"/>
              <w:spacing w:before="0"/>
            </w:pPr>
            <w:r w:rsidRPr="00BF219C">
              <w:t xml:space="preserve">  </w:t>
            </w:r>
            <w:r w:rsidR="00B25E4F" w:rsidRPr="00BF219C">
              <w:t xml:space="preserve"> 4</w:t>
            </w:r>
            <w:r w:rsidRPr="00BF219C">
              <w:t>3</w:t>
            </w: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p>
        </w:tc>
        <w:tc>
          <w:tcPr>
            <w:tcW w:w="1440" w:type="dxa"/>
            <w:tcBorders>
              <w:top w:val="nil"/>
              <w:left w:val="nil"/>
              <w:bottom w:val="nil"/>
              <w:right w:val="nil"/>
            </w:tcBorders>
            <w:shd w:val="clear" w:color="auto" w:fill="auto"/>
            <w:noWrap/>
            <w:vAlign w:val="bottom"/>
          </w:tcPr>
          <w:p w:rsidR="005165AD" w:rsidRPr="00BF219C" w:rsidRDefault="005165AD" w:rsidP="005165AD">
            <w:pPr>
              <w:pStyle w:val="BodyText2"/>
              <w:spacing w:before="0"/>
            </w:pPr>
          </w:p>
        </w:tc>
        <w:tc>
          <w:tcPr>
            <w:tcW w:w="1660" w:type="dxa"/>
            <w:tcBorders>
              <w:top w:val="nil"/>
              <w:left w:val="nil"/>
              <w:bottom w:val="nil"/>
              <w:right w:val="nil"/>
            </w:tcBorders>
            <w:shd w:val="clear" w:color="auto" w:fill="auto"/>
            <w:noWrap/>
            <w:vAlign w:val="bottom"/>
          </w:tcPr>
          <w:p w:rsidR="005165AD" w:rsidRPr="00BF219C" w:rsidRDefault="005165AD" w:rsidP="005165AD">
            <w:pPr>
              <w:pStyle w:val="BodyText2"/>
              <w:spacing w:before="0"/>
            </w:pPr>
          </w:p>
        </w:tc>
        <w:tc>
          <w:tcPr>
            <w:tcW w:w="1444" w:type="dxa"/>
            <w:tcBorders>
              <w:top w:val="nil"/>
              <w:left w:val="nil"/>
              <w:bottom w:val="nil"/>
              <w:right w:val="nil"/>
            </w:tcBorders>
            <w:vAlign w:val="bottom"/>
          </w:tcPr>
          <w:p w:rsidR="005165AD" w:rsidRPr="00BF219C" w:rsidRDefault="005165AD" w:rsidP="005165AD">
            <w:pPr>
              <w:pStyle w:val="BodyText2"/>
              <w:spacing w:before="0"/>
            </w:pPr>
          </w:p>
        </w:tc>
        <w:tc>
          <w:tcPr>
            <w:tcW w:w="1530" w:type="dxa"/>
            <w:tcBorders>
              <w:top w:val="nil"/>
              <w:left w:val="nil"/>
              <w:bottom w:val="nil"/>
              <w:right w:val="nil"/>
            </w:tcBorders>
            <w:shd w:val="clear" w:color="auto" w:fill="auto"/>
            <w:noWrap/>
            <w:vAlign w:val="bottom"/>
          </w:tcPr>
          <w:p w:rsidR="005165AD" w:rsidRPr="00BF219C" w:rsidRDefault="005165AD" w:rsidP="005165AD">
            <w:pPr>
              <w:pStyle w:val="BodyText2"/>
              <w:spacing w:before="0"/>
            </w:pPr>
          </w:p>
        </w:tc>
        <w:tc>
          <w:tcPr>
            <w:tcW w:w="1306" w:type="dxa"/>
            <w:gridSpan w:val="2"/>
            <w:vAlign w:val="bottom"/>
          </w:tcPr>
          <w:p w:rsidR="005165AD" w:rsidRPr="00BF219C" w:rsidRDefault="005165AD" w:rsidP="005165AD">
            <w:pPr>
              <w:pStyle w:val="BodyText2"/>
              <w:spacing w:before="0"/>
            </w:pP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r w:rsidRPr="00BF219C">
              <w:t>Investigation Closed</w:t>
            </w:r>
          </w:p>
        </w:tc>
        <w:tc>
          <w:tcPr>
            <w:tcW w:w="1440" w:type="dxa"/>
            <w:tcBorders>
              <w:top w:val="nil"/>
              <w:left w:val="nil"/>
              <w:bottom w:val="nil"/>
              <w:right w:val="nil"/>
            </w:tcBorders>
            <w:shd w:val="clear" w:color="auto" w:fill="auto"/>
            <w:noWrap/>
            <w:vAlign w:val="bottom"/>
          </w:tcPr>
          <w:p w:rsidR="005165AD" w:rsidRPr="00BF219C" w:rsidRDefault="005165AD" w:rsidP="00750DC2">
            <w:pPr>
              <w:pStyle w:val="BodyText2"/>
              <w:spacing w:before="0"/>
            </w:pPr>
            <w:r w:rsidRPr="00BF219C">
              <w:t xml:space="preserve">  </w:t>
            </w:r>
            <w:r w:rsidR="00B25E4F" w:rsidRPr="00BF219C">
              <w:t xml:space="preserve"> 88</w:t>
            </w:r>
          </w:p>
        </w:tc>
        <w:tc>
          <w:tcPr>
            <w:tcW w:w="166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84</w:t>
            </w:r>
          </w:p>
        </w:tc>
        <w:tc>
          <w:tcPr>
            <w:tcW w:w="1444" w:type="dxa"/>
            <w:tcBorders>
              <w:top w:val="nil"/>
              <w:left w:val="nil"/>
              <w:bottom w:val="nil"/>
              <w:right w:val="nil"/>
            </w:tcBorders>
            <w:vAlign w:val="bottom"/>
          </w:tcPr>
          <w:p w:rsidR="005165AD" w:rsidRPr="00BF219C" w:rsidRDefault="005165AD" w:rsidP="00750DC2">
            <w:pPr>
              <w:pStyle w:val="BodyText2"/>
              <w:spacing w:before="0"/>
            </w:pPr>
            <w:r w:rsidRPr="00BF219C">
              <w:t xml:space="preserve">   </w:t>
            </w:r>
            <w:r w:rsidR="00B25E4F" w:rsidRPr="00BF219C">
              <w:t>5</w:t>
            </w:r>
            <w:r w:rsidRPr="00BF219C">
              <w:t>1</w:t>
            </w:r>
          </w:p>
        </w:tc>
        <w:tc>
          <w:tcPr>
            <w:tcW w:w="1530" w:type="dxa"/>
            <w:tcBorders>
              <w:top w:val="nil"/>
              <w:left w:val="nil"/>
              <w:bottom w:val="nil"/>
              <w:right w:val="nil"/>
            </w:tcBorders>
            <w:shd w:val="clear" w:color="auto" w:fill="auto"/>
            <w:noWrap/>
            <w:vAlign w:val="bottom"/>
          </w:tcPr>
          <w:p w:rsidR="005165AD" w:rsidRPr="00BF219C" w:rsidRDefault="005165AD" w:rsidP="00B25E4F">
            <w:pPr>
              <w:pStyle w:val="BodyText2"/>
              <w:spacing w:before="0"/>
            </w:pPr>
            <w:r w:rsidRPr="00BF219C">
              <w:t xml:space="preserve">   </w:t>
            </w:r>
            <w:r w:rsidR="00B25E4F" w:rsidRPr="00BF219C">
              <w:t>71</w:t>
            </w:r>
          </w:p>
        </w:tc>
        <w:tc>
          <w:tcPr>
            <w:tcW w:w="1306" w:type="dxa"/>
            <w:gridSpan w:val="2"/>
            <w:vAlign w:val="bottom"/>
          </w:tcPr>
          <w:p w:rsidR="005165AD" w:rsidRPr="00BF219C" w:rsidRDefault="005165AD" w:rsidP="00750DC2">
            <w:pPr>
              <w:pStyle w:val="BodyText2"/>
              <w:spacing w:before="0"/>
            </w:pPr>
            <w:r w:rsidRPr="00BF219C">
              <w:t xml:space="preserve">   </w:t>
            </w:r>
            <w:r w:rsidR="00B25E4F" w:rsidRPr="00BF219C">
              <w:t>5</w:t>
            </w:r>
            <w:r w:rsidRPr="00BF219C">
              <w:t>9</w:t>
            </w: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r w:rsidRPr="00BF219C">
              <w:t>Notice of Cause</w:t>
            </w:r>
          </w:p>
        </w:tc>
        <w:tc>
          <w:tcPr>
            <w:tcW w:w="1440" w:type="dxa"/>
            <w:tcBorders>
              <w:top w:val="nil"/>
              <w:left w:val="nil"/>
              <w:bottom w:val="nil"/>
              <w:right w:val="nil"/>
            </w:tcBorders>
            <w:shd w:val="clear" w:color="auto" w:fill="auto"/>
            <w:noWrap/>
            <w:vAlign w:val="bottom"/>
          </w:tcPr>
          <w:p w:rsidR="005165AD" w:rsidRPr="00BF219C" w:rsidRDefault="00BF219C" w:rsidP="00750DC2">
            <w:pPr>
              <w:pStyle w:val="BodyText2"/>
              <w:spacing w:before="0"/>
              <w:jc w:val="center"/>
            </w:pPr>
            <w:r w:rsidRPr="00BF219C">
              <w:t>3</w:t>
            </w:r>
          </w:p>
        </w:tc>
        <w:tc>
          <w:tcPr>
            <w:tcW w:w="1660" w:type="dxa"/>
            <w:tcBorders>
              <w:top w:val="nil"/>
              <w:left w:val="nil"/>
              <w:bottom w:val="nil"/>
              <w:right w:val="nil"/>
            </w:tcBorders>
            <w:shd w:val="clear" w:color="auto" w:fill="auto"/>
            <w:noWrap/>
            <w:vAlign w:val="bottom"/>
          </w:tcPr>
          <w:p w:rsidR="005165AD" w:rsidRPr="00BF219C" w:rsidRDefault="00BF219C" w:rsidP="00750DC2">
            <w:pPr>
              <w:pStyle w:val="BodyText2"/>
              <w:spacing w:before="0"/>
              <w:jc w:val="center"/>
            </w:pPr>
            <w:r w:rsidRPr="00BF219C">
              <w:t>4</w:t>
            </w:r>
          </w:p>
        </w:tc>
        <w:tc>
          <w:tcPr>
            <w:tcW w:w="1444" w:type="dxa"/>
            <w:tcBorders>
              <w:top w:val="nil"/>
              <w:left w:val="nil"/>
              <w:bottom w:val="nil"/>
              <w:right w:val="nil"/>
            </w:tcBorders>
            <w:vAlign w:val="bottom"/>
          </w:tcPr>
          <w:p w:rsidR="005165AD" w:rsidRPr="00BF219C" w:rsidRDefault="00BF219C" w:rsidP="00750DC2">
            <w:pPr>
              <w:pStyle w:val="BodyText2"/>
              <w:spacing w:before="0"/>
              <w:jc w:val="center"/>
            </w:pPr>
            <w:r w:rsidRPr="00BF219C">
              <w:t>1</w:t>
            </w:r>
          </w:p>
        </w:tc>
        <w:tc>
          <w:tcPr>
            <w:tcW w:w="1530" w:type="dxa"/>
            <w:tcBorders>
              <w:top w:val="nil"/>
              <w:left w:val="nil"/>
              <w:bottom w:val="nil"/>
              <w:right w:val="nil"/>
            </w:tcBorders>
            <w:shd w:val="clear" w:color="auto" w:fill="auto"/>
            <w:noWrap/>
            <w:vAlign w:val="bottom"/>
          </w:tcPr>
          <w:p w:rsidR="005165AD" w:rsidRPr="00BF219C" w:rsidRDefault="00BF219C" w:rsidP="00750DC2">
            <w:pPr>
              <w:pStyle w:val="BodyText2"/>
              <w:spacing w:before="0"/>
              <w:jc w:val="center"/>
            </w:pPr>
            <w:r w:rsidRPr="00BF219C">
              <w:t>2</w:t>
            </w:r>
          </w:p>
        </w:tc>
        <w:tc>
          <w:tcPr>
            <w:tcW w:w="1306" w:type="dxa"/>
            <w:gridSpan w:val="2"/>
            <w:vAlign w:val="bottom"/>
          </w:tcPr>
          <w:p w:rsidR="005165AD" w:rsidRPr="00BF219C" w:rsidRDefault="00BF219C" w:rsidP="00750DC2">
            <w:pPr>
              <w:pStyle w:val="BodyText2"/>
              <w:spacing w:before="0"/>
              <w:jc w:val="center"/>
            </w:pPr>
            <w:r w:rsidRPr="00BF219C">
              <w:t>1</w:t>
            </w:r>
          </w:p>
        </w:tc>
      </w:tr>
      <w:tr w:rsidR="005165AD" w:rsidRPr="00BF219C" w:rsidTr="00A67BC3">
        <w:trPr>
          <w:trHeight w:val="255"/>
        </w:trPr>
        <w:tc>
          <w:tcPr>
            <w:tcW w:w="2265" w:type="dxa"/>
            <w:tcBorders>
              <w:top w:val="nil"/>
              <w:left w:val="nil"/>
              <w:bottom w:val="nil"/>
              <w:right w:val="nil"/>
            </w:tcBorders>
            <w:shd w:val="clear" w:color="auto" w:fill="auto"/>
            <w:noWrap/>
            <w:vAlign w:val="bottom"/>
          </w:tcPr>
          <w:p w:rsidR="005165AD" w:rsidRPr="00BF219C" w:rsidRDefault="005165AD" w:rsidP="005165AD">
            <w:pPr>
              <w:pStyle w:val="BodyText2"/>
              <w:spacing w:before="0"/>
              <w:jc w:val="left"/>
            </w:pPr>
            <w:r w:rsidRPr="00BF219C">
              <w:t>Enforcement Closure</w:t>
            </w:r>
          </w:p>
        </w:tc>
        <w:tc>
          <w:tcPr>
            <w:tcW w:w="1440" w:type="dxa"/>
            <w:tcBorders>
              <w:top w:val="nil"/>
              <w:left w:val="nil"/>
              <w:bottom w:val="nil"/>
              <w:right w:val="nil"/>
            </w:tcBorders>
            <w:shd w:val="clear" w:color="auto" w:fill="auto"/>
            <w:noWrap/>
            <w:vAlign w:val="bottom"/>
          </w:tcPr>
          <w:p w:rsidR="005165AD" w:rsidRPr="00BF219C" w:rsidRDefault="00BF219C" w:rsidP="00750DC2">
            <w:pPr>
              <w:pStyle w:val="BodyText2"/>
              <w:spacing w:before="0"/>
              <w:jc w:val="center"/>
            </w:pPr>
            <w:r w:rsidRPr="00BF219C">
              <w:t>4</w:t>
            </w:r>
          </w:p>
        </w:tc>
        <w:tc>
          <w:tcPr>
            <w:tcW w:w="1660" w:type="dxa"/>
            <w:tcBorders>
              <w:top w:val="nil"/>
              <w:left w:val="nil"/>
              <w:bottom w:val="nil"/>
              <w:right w:val="nil"/>
            </w:tcBorders>
            <w:shd w:val="clear" w:color="auto" w:fill="auto"/>
            <w:noWrap/>
            <w:vAlign w:val="bottom"/>
          </w:tcPr>
          <w:p w:rsidR="005165AD" w:rsidRPr="00BF219C" w:rsidRDefault="00BF219C" w:rsidP="00750DC2">
            <w:pPr>
              <w:pStyle w:val="BodyText2"/>
              <w:spacing w:before="0"/>
              <w:jc w:val="center"/>
            </w:pPr>
            <w:r w:rsidRPr="00BF219C">
              <w:t>3</w:t>
            </w:r>
          </w:p>
        </w:tc>
        <w:tc>
          <w:tcPr>
            <w:tcW w:w="1444" w:type="dxa"/>
            <w:tcBorders>
              <w:top w:val="nil"/>
              <w:left w:val="nil"/>
              <w:bottom w:val="nil"/>
              <w:right w:val="nil"/>
            </w:tcBorders>
            <w:vAlign w:val="bottom"/>
          </w:tcPr>
          <w:p w:rsidR="005165AD" w:rsidRPr="00BF219C" w:rsidRDefault="00BF219C" w:rsidP="00750DC2">
            <w:pPr>
              <w:pStyle w:val="BodyText2"/>
              <w:spacing w:before="0"/>
              <w:jc w:val="center"/>
            </w:pPr>
            <w:r w:rsidRPr="00BF219C">
              <w:t>5</w:t>
            </w:r>
          </w:p>
        </w:tc>
        <w:tc>
          <w:tcPr>
            <w:tcW w:w="1530" w:type="dxa"/>
            <w:tcBorders>
              <w:top w:val="nil"/>
              <w:left w:val="nil"/>
              <w:bottom w:val="nil"/>
              <w:right w:val="nil"/>
            </w:tcBorders>
            <w:shd w:val="clear" w:color="auto" w:fill="auto"/>
            <w:noWrap/>
            <w:vAlign w:val="bottom"/>
          </w:tcPr>
          <w:p w:rsidR="005165AD" w:rsidRPr="00BF219C" w:rsidRDefault="00BF219C" w:rsidP="00750DC2">
            <w:pPr>
              <w:pStyle w:val="BodyText2"/>
              <w:spacing w:before="0"/>
              <w:jc w:val="center"/>
            </w:pPr>
            <w:r w:rsidRPr="00BF219C">
              <w:t>6</w:t>
            </w:r>
          </w:p>
        </w:tc>
        <w:tc>
          <w:tcPr>
            <w:tcW w:w="1306" w:type="dxa"/>
            <w:gridSpan w:val="2"/>
            <w:vAlign w:val="bottom"/>
          </w:tcPr>
          <w:p w:rsidR="005165AD" w:rsidRPr="00BF219C" w:rsidRDefault="00BF219C" w:rsidP="00750DC2">
            <w:pPr>
              <w:pStyle w:val="BodyText2"/>
              <w:spacing w:before="0"/>
              <w:jc w:val="center"/>
            </w:pPr>
            <w:r w:rsidRPr="00BF219C">
              <w:t>2</w:t>
            </w:r>
          </w:p>
        </w:tc>
      </w:tr>
    </w:tbl>
    <w:p w:rsidR="005165AD" w:rsidRDefault="005165AD" w:rsidP="005165AD">
      <w:pPr>
        <w:pStyle w:val="BodyText2"/>
      </w:pPr>
    </w:p>
    <w:p w:rsidR="00F4438E" w:rsidRPr="00F4438E" w:rsidRDefault="00D76FC7" w:rsidP="00F4438E">
      <w:pPr>
        <w:pStyle w:val="BodyText2"/>
      </w:pPr>
      <w:r>
        <w:t xml:space="preserve">Executive Director (ED) Bill Hoshijo reported that the HCRC, in collaboration with the EEOC, was </w:t>
      </w:r>
      <w:r w:rsidR="00F4438E">
        <w:t>planning a public training,</w:t>
      </w:r>
      <w:bookmarkStart w:id="1" w:name="_Hlk20229728"/>
      <w:r w:rsidR="00F4438E">
        <w:t xml:space="preserve"> </w:t>
      </w:r>
      <w:r w:rsidR="00F4438E" w:rsidRPr="00F4438E">
        <w:t>“Civil Rights at Work: Worker Rights &amp; Employer Best Practices</w:t>
      </w:r>
      <w:r w:rsidR="00F4438E">
        <w:t>,</w:t>
      </w:r>
      <w:r w:rsidR="00F4438E" w:rsidRPr="00F4438E">
        <w:t>”</w:t>
      </w:r>
      <w:r w:rsidR="00F4438E">
        <w:t xml:space="preserve"> for November at Consolidated Ward Theaters.</w:t>
      </w:r>
    </w:p>
    <w:bookmarkEnd w:id="1"/>
    <w:p w:rsidR="00D76FC7" w:rsidRPr="00DE108E" w:rsidRDefault="00D76FC7" w:rsidP="005165AD">
      <w:pPr>
        <w:pStyle w:val="BodyText2"/>
      </w:pPr>
    </w:p>
    <w:p w:rsidR="00B91666" w:rsidRPr="00DE108E" w:rsidRDefault="00B91666" w:rsidP="00B91666">
      <w:pPr>
        <w:rPr>
          <w:b/>
          <w:u w:val="single"/>
        </w:rPr>
      </w:pPr>
      <w:r w:rsidRPr="00DE108E">
        <w:rPr>
          <w:b/>
          <w:u w:val="single"/>
        </w:rPr>
        <w:t>Chief Counsel’s Report</w:t>
      </w:r>
    </w:p>
    <w:p w:rsidR="00820166" w:rsidRPr="00DE108E" w:rsidRDefault="00820166" w:rsidP="00820166">
      <w:pPr>
        <w:pStyle w:val="BodyText"/>
        <w:rPr>
          <w:color w:val="auto"/>
          <w:szCs w:val="24"/>
        </w:rPr>
      </w:pPr>
      <w:r w:rsidRPr="00DE108E">
        <w:rPr>
          <w:color w:val="auto"/>
          <w:szCs w:val="24"/>
        </w:rPr>
        <w:t xml:space="preserve">Chief Counsel (CC) Robin Wurtzel reported on the status of </w:t>
      </w:r>
      <w:r w:rsidR="00661FC7" w:rsidRPr="00DE108E">
        <w:rPr>
          <w:color w:val="auto"/>
          <w:szCs w:val="24"/>
        </w:rPr>
        <w:t>three</w:t>
      </w:r>
      <w:r w:rsidRPr="00DE108E">
        <w:rPr>
          <w:color w:val="auto"/>
          <w:szCs w:val="24"/>
        </w:rPr>
        <w:t xml:space="preserve"> cases.</w:t>
      </w:r>
    </w:p>
    <w:p w:rsidR="00BA3105" w:rsidRPr="00DE108E" w:rsidRDefault="00BA3105" w:rsidP="00BA3105">
      <w:pPr>
        <w:pStyle w:val="BodyText"/>
        <w:rPr>
          <w:color w:val="auto"/>
        </w:rPr>
      </w:pPr>
      <w:r w:rsidRPr="00DE108E">
        <w:rPr>
          <w:color w:val="auto"/>
        </w:rPr>
        <w:t xml:space="preserve">In </w:t>
      </w:r>
      <w:r w:rsidRPr="00DE108E">
        <w:rPr>
          <w:i/>
          <w:color w:val="auto"/>
        </w:rPr>
        <w:t>Shavelson</w:t>
      </w:r>
      <w:r w:rsidRPr="00DE108E">
        <w:rPr>
          <w:color w:val="auto"/>
        </w:rPr>
        <w:t xml:space="preserve">, </w:t>
      </w:r>
      <w:r w:rsidR="00661FC7" w:rsidRPr="00DE108E">
        <w:rPr>
          <w:color w:val="auto"/>
        </w:rPr>
        <w:t>the case was dismissed in August and the matter was closed.</w:t>
      </w:r>
    </w:p>
    <w:p w:rsidR="00820166" w:rsidRPr="00DE108E" w:rsidRDefault="00820166" w:rsidP="00820166">
      <w:pPr>
        <w:pStyle w:val="BodyText"/>
        <w:rPr>
          <w:color w:val="auto"/>
        </w:rPr>
      </w:pPr>
      <w:r w:rsidRPr="00DE108E">
        <w:rPr>
          <w:color w:val="auto"/>
        </w:rPr>
        <w:t xml:space="preserve">In </w:t>
      </w:r>
      <w:r w:rsidRPr="00DE108E">
        <w:rPr>
          <w:i/>
          <w:color w:val="auto"/>
        </w:rPr>
        <w:t>Boyd vs. Primack</w:t>
      </w:r>
      <w:r w:rsidRPr="00DE108E">
        <w:rPr>
          <w:color w:val="auto"/>
        </w:rPr>
        <w:t>,</w:t>
      </w:r>
      <w:r w:rsidR="00B6628C" w:rsidRPr="00DE108E">
        <w:rPr>
          <w:color w:val="auto"/>
        </w:rPr>
        <w:t xml:space="preserve"> on the </w:t>
      </w:r>
      <w:r w:rsidRPr="00DE108E">
        <w:rPr>
          <w:color w:val="auto"/>
        </w:rPr>
        <w:t>complaint for a judgment for enforcement of the Commission final decision in the Third Ci</w:t>
      </w:r>
      <w:r w:rsidR="00B6628C" w:rsidRPr="00DE108E">
        <w:rPr>
          <w:color w:val="auto"/>
        </w:rPr>
        <w:t>rcuit Court</w:t>
      </w:r>
      <w:r w:rsidR="00DE108E" w:rsidRPr="00DE108E">
        <w:rPr>
          <w:color w:val="auto"/>
        </w:rPr>
        <w:t>, a motion to set aside the order against the respondent was filed and was pending</w:t>
      </w:r>
      <w:r w:rsidRPr="00DE108E">
        <w:rPr>
          <w:color w:val="auto"/>
        </w:rPr>
        <w:t>.</w:t>
      </w:r>
    </w:p>
    <w:p w:rsidR="00820166" w:rsidRPr="00DE108E" w:rsidRDefault="00820166" w:rsidP="00820166">
      <w:pPr>
        <w:pStyle w:val="BodyText"/>
        <w:rPr>
          <w:color w:val="auto"/>
        </w:rPr>
      </w:pPr>
      <w:r w:rsidRPr="00DE108E">
        <w:rPr>
          <w:color w:val="auto"/>
        </w:rPr>
        <w:t xml:space="preserve">In </w:t>
      </w:r>
      <w:r w:rsidRPr="00DE108E">
        <w:rPr>
          <w:i/>
          <w:color w:val="auto"/>
        </w:rPr>
        <w:t>Cervelli/Bufford v. Aloha Bed &amp; Breakfast</w:t>
      </w:r>
      <w:r w:rsidR="006C49AD" w:rsidRPr="00DE108E">
        <w:rPr>
          <w:color w:val="auto"/>
        </w:rPr>
        <w:t>, No. 11-1-3103-12 ECN,</w:t>
      </w:r>
      <w:r w:rsidRPr="00DE108E">
        <w:rPr>
          <w:color w:val="auto"/>
        </w:rPr>
        <w:t xml:space="preserve"> the case</w:t>
      </w:r>
      <w:r w:rsidR="006C49AD" w:rsidRPr="00DE108E">
        <w:rPr>
          <w:color w:val="auto"/>
        </w:rPr>
        <w:t xml:space="preserve"> was</w:t>
      </w:r>
      <w:r w:rsidRPr="00DE108E">
        <w:rPr>
          <w:color w:val="auto"/>
        </w:rPr>
        <w:t xml:space="preserve"> remanded for a trial on damages.  </w:t>
      </w:r>
      <w:r w:rsidR="00B6628C" w:rsidRPr="00DE108E">
        <w:rPr>
          <w:color w:val="auto"/>
        </w:rPr>
        <w:t>The only remaining issue was damages, and the parties were in discussion.  HCRC and the plaintiffs won the Motion for Summary Judgment, so were satisfied with the resolution of the legal issues.</w:t>
      </w:r>
    </w:p>
    <w:p w:rsidR="00B6628C" w:rsidRPr="00213B44" w:rsidRDefault="00B6628C" w:rsidP="009A7EAE">
      <w:pPr>
        <w:widowControl/>
        <w:autoSpaceDE/>
        <w:autoSpaceDN/>
        <w:adjustRightInd/>
      </w:pPr>
    </w:p>
    <w:p w:rsidR="00213B44" w:rsidRDefault="00213B44" w:rsidP="009A7EAE">
      <w:pPr>
        <w:widowControl/>
        <w:autoSpaceDE/>
        <w:autoSpaceDN/>
        <w:adjustRightInd/>
      </w:pPr>
      <w:r>
        <w:t xml:space="preserve">CC Wurtzel reported that she was working on draft rules for proposed rulemaking.  Most of the </w:t>
      </w:r>
      <w:r w:rsidR="00B56B0B">
        <w:t xml:space="preserve">proposed changes will be minor, technical, or housekeeping, except for proposed adoption of a three-factor test, or </w:t>
      </w:r>
      <w:r w:rsidR="006F1A89">
        <w:t>“</w:t>
      </w:r>
      <w:r w:rsidR="00B56B0B">
        <w:t>ABC test</w:t>
      </w:r>
      <w:r w:rsidR="006F1A89">
        <w:t>”</w:t>
      </w:r>
      <w:r w:rsidR="00B56B0B">
        <w:t>, to determine who is an “employer” under HRS chapter 378, part I.  CC Wurtzel said she would provide draft language at the next meeting.</w:t>
      </w:r>
    </w:p>
    <w:p w:rsidR="00B56B0B" w:rsidRDefault="00B56B0B" w:rsidP="009A7EAE">
      <w:pPr>
        <w:widowControl/>
        <w:autoSpaceDE/>
        <w:autoSpaceDN/>
        <w:adjustRightInd/>
      </w:pPr>
    </w:p>
    <w:p w:rsidR="00B56B0B" w:rsidRPr="00213B44" w:rsidRDefault="00B56B0B" w:rsidP="009A7EAE">
      <w:pPr>
        <w:widowControl/>
        <w:autoSpaceDE/>
        <w:autoSpaceDN/>
        <w:adjustRightInd/>
      </w:pPr>
      <w:r>
        <w:t>ED Hoshijo</w:t>
      </w:r>
      <w:r w:rsidR="00F668E7">
        <w:t xml:space="preserve"> </w:t>
      </w:r>
      <w:r w:rsidR="006F1A89">
        <w:t xml:space="preserve">noted that three DLIR divisions use </w:t>
      </w:r>
      <w:r w:rsidR="00F4438E">
        <w:t>a</w:t>
      </w:r>
      <w:r w:rsidR="006F1A89">
        <w:t xml:space="preserve"> three-factor test</w:t>
      </w:r>
      <w:r w:rsidR="00F4438E">
        <w:t>,</w:t>
      </w:r>
      <w:r w:rsidR="006F1A89">
        <w:t xml:space="preserve"> one pursuant to statute and two pursuant to rule. He suggested that CC Wurtzel could prepare a brief memorandum comparing the simpler three factor test to the complex multi-factor test that the Commission adopted in its 1993 </w:t>
      </w:r>
      <w:r w:rsidR="006F1A89" w:rsidRPr="006F1A89">
        <w:rPr>
          <w:i/>
        </w:rPr>
        <w:t>Santiago</w:t>
      </w:r>
      <w:r w:rsidR="006F1A89">
        <w:t xml:space="preserve"> decision.</w:t>
      </w:r>
    </w:p>
    <w:p w:rsidR="00213B44" w:rsidRPr="00213B44" w:rsidRDefault="00213B44" w:rsidP="009A7EAE">
      <w:pPr>
        <w:widowControl/>
        <w:autoSpaceDE/>
        <w:autoSpaceDN/>
        <w:adjustRightInd/>
      </w:pPr>
    </w:p>
    <w:p w:rsidR="005329FC" w:rsidRPr="00230AE8" w:rsidRDefault="00F4438E" w:rsidP="009F2403">
      <w:pPr>
        <w:widowControl/>
        <w:autoSpaceDE/>
        <w:autoSpaceDN/>
        <w:adjustRightInd/>
        <w:rPr>
          <w:b/>
          <w:u w:val="single"/>
        </w:rPr>
      </w:pPr>
      <w:r>
        <w:rPr>
          <w:b/>
          <w:color w:val="0000FF"/>
          <w:u w:val="single"/>
        </w:rPr>
        <w:br w:type="page"/>
      </w:r>
      <w:r w:rsidR="00230AE8" w:rsidRPr="00230AE8">
        <w:rPr>
          <w:b/>
          <w:u w:val="single"/>
        </w:rPr>
        <w:t>Public Comment</w:t>
      </w:r>
    </w:p>
    <w:p w:rsidR="005329FC" w:rsidRPr="00230AE8" w:rsidRDefault="005329FC" w:rsidP="009F2403">
      <w:pPr>
        <w:widowControl/>
        <w:autoSpaceDE/>
        <w:autoSpaceDN/>
        <w:adjustRightInd/>
      </w:pPr>
    </w:p>
    <w:p w:rsidR="00F95379" w:rsidRPr="00230AE8" w:rsidRDefault="00230AE8" w:rsidP="009F2403">
      <w:pPr>
        <w:widowControl/>
        <w:autoSpaceDE/>
        <w:autoSpaceDN/>
        <w:adjustRightInd/>
      </w:pPr>
      <w:r w:rsidRPr="00230AE8">
        <w:t>Member of the public Robert Perry asked to offer comments.  He said he was present to observe and suggest changes.  He said that the HCRC does not have integrity, because he attempted to file multiple complaints, but HCRC staff did not investigate.  He felt this was disrespectful and rude.</w:t>
      </w:r>
    </w:p>
    <w:p w:rsidR="009F2403" w:rsidRPr="00230AE8" w:rsidRDefault="009F2403" w:rsidP="009F2403">
      <w:pPr>
        <w:widowControl/>
        <w:autoSpaceDE/>
        <w:autoSpaceDN/>
        <w:adjustRightInd/>
      </w:pPr>
    </w:p>
    <w:p w:rsidR="005B18DC" w:rsidRPr="00702D88" w:rsidRDefault="00CC3102" w:rsidP="005B18DC">
      <w:pPr>
        <w:pStyle w:val="BodyText"/>
        <w:widowControl w:val="0"/>
        <w:spacing w:before="0"/>
        <w:rPr>
          <w:b/>
          <w:color w:val="auto"/>
          <w:szCs w:val="24"/>
          <w:u w:val="single"/>
        </w:rPr>
      </w:pPr>
      <w:r w:rsidRPr="00702D88">
        <w:rPr>
          <w:b/>
          <w:color w:val="auto"/>
          <w:szCs w:val="24"/>
          <w:u w:val="single"/>
        </w:rPr>
        <w:t xml:space="preserve">Unfinished </w:t>
      </w:r>
      <w:r w:rsidR="005B18DC" w:rsidRPr="00702D88">
        <w:rPr>
          <w:b/>
          <w:color w:val="auto"/>
          <w:szCs w:val="24"/>
          <w:u w:val="single"/>
        </w:rPr>
        <w:t>Business</w:t>
      </w:r>
    </w:p>
    <w:p w:rsidR="005B18DC" w:rsidRPr="00702D88" w:rsidRDefault="005B18DC" w:rsidP="005B18DC">
      <w:pPr>
        <w:pStyle w:val="BodyText"/>
        <w:widowControl w:val="0"/>
        <w:spacing w:before="0"/>
        <w:rPr>
          <w:color w:val="auto"/>
          <w:szCs w:val="24"/>
        </w:rPr>
      </w:pPr>
    </w:p>
    <w:p w:rsidR="0064127D" w:rsidRPr="00702D88" w:rsidRDefault="0064127D" w:rsidP="0064127D">
      <w:pPr>
        <w:pStyle w:val="BodyText"/>
        <w:widowControl w:val="0"/>
        <w:spacing w:before="0"/>
        <w:rPr>
          <w:color w:val="auto"/>
          <w:szCs w:val="24"/>
        </w:rPr>
      </w:pPr>
      <w:r w:rsidRPr="00702D88">
        <w:rPr>
          <w:color w:val="auto"/>
          <w:szCs w:val="24"/>
        </w:rPr>
        <w:t xml:space="preserve">There was no </w:t>
      </w:r>
      <w:r w:rsidR="00CC3102" w:rsidRPr="00702D88">
        <w:rPr>
          <w:color w:val="auto"/>
          <w:szCs w:val="24"/>
        </w:rPr>
        <w:t>unfinished business to discuss</w:t>
      </w:r>
      <w:r w:rsidRPr="00702D88">
        <w:rPr>
          <w:color w:val="auto"/>
          <w:szCs w:val="24"/>
        </w:rPr>
        <w:t>.</w:t>
      </w:r>
    </w:p>
    <w:p w:rsidR="006402C6" w:rsidRPr="00702D88" w:rsidRDefault="006402C6" w:rsidP="006402C6">
      <w:pPr>
        <w:pStyle w:val="BodyText"/>
        <w:widowControl w:val="0"/>
        <w:spacing w:before="0"/>
        <w:rPr>
          <w:color w:val="auto"/>
          <w:szCs w:val="24"/>
        </w:rPr>
      </w:pPr>
    </w:p>
    <w:p w:rsidR="00E5523D" w:rsidRPr="00702D88" w:rsidRDefault="00E5523D" w:rsidP="00E5523D">
      <w:pPr>
        <w:pStyle w:val="BodyText"/>
        <w:widowControl w:val="0"/>
        <w:spacing w:before="0"/>
        <w:rPr>
          <w:b/>
          <w:color w:val="auto"/>
          <w:szCs w:val="24"/>
        </w:rPr>
      </w:pPr>
      <w:r w:rsidRPr="00702D88">
        <w:rPr>
          <w:b/>
          <w:color w:val="auto"/>
          <w:szCs w:val="24"/>
          <w:u w:val="single"/>
        </w:rPr>
        <w:t>New Business</w:t>
      </w:r>
    </w:p>
    <w:p w:rsidR="00E5523D" w:rsidRPr="00702D88" w:rsidRDefault="00E5523D" w:rsidP="00E5523D">
      <w:pPr>
        <w:pStyle w:val="BodyText"/>
        <w:widowControl w:val="0"/>
        <w:spacing w:before="0"/>
        <w:rPr>
          <w:color w:val="auto"/>
          <w:szCs w:val="24"/>
        </w:rPr>
      </w:pPr>
    </w:p>
    <w:p w:rsidR="0078011F" w:rsidRPr="00702D88" w:rsidRDefault="006402C6" w:rsidP="00E5523D">
      <w:pPr>
        <w:pStyle w:val="BodyText"/>
        <w:widowControl w:val="0"/>
        <w:spacing w:before="0"/>
        <w:rPr>
          <w:color w:val="auto"/>
          <w:szCs w:val="24"/>
        </w:rPr>
      </w:pPr>
      <w:r w:rsidRPr="00702D88">
        <w:rPr>
          <w:color w:val="auto"/>
          <w:szCs w:val="24"/>
        </w:rPr>
        <w:t>There was no new business.</w:t>
      </w:r>
    </w:p>
    <w:p w:rsidR="006402C6" w:rsidRPr="00702D88" w:rsidRDefault="006402C6" w:rsidP="00E5523D">
      <w:pPr>
        <w:pStyle w:val="BodyText"/>
        <w:widowControl w:val="0"/>
        <w:spacing w:before="0"/>
        <w:rPr>
          <w:color w:val="auto"/>
          <w:szCs w:val="24"/>
        </w:rPr>
      </w:pPr>
    </w:p>
    <w:p w:rsidR="00E5523D" w:rsidRPr="00702D88" w:rsidRDefault="00E5523D" w:rsidP="00E5523D">
      <w:pPr>
        <w:rPr>
          <w:b/>
          <w:u w:val="single"/>
        </w:rPr>
      </w:pPr>
      <w:r w:rsidRPr="00702D88">
        <w:rPr>
          <w:b/>
          <w:u w:val="single"/>
        </w:rPr>
        <w:t>Announcements</w:t>
      </w:r>
    </w:p>
    <w:p w:rsidR="00E5523D" w:rsidRPr="00702D88" w:rsidRDefault="00E5523D" w:rsidP="00E5523D"/>
    <w:p w:rsidR="00E64D6F" w:rsidRPr="00702D88" w:rsidRDefault="00896AD7" w:rsidP="00E5523D">
      <w:r w:rsidRPr="00702D88">
        <w:t xml:space="preserve">ED Hoshijo </w:t>
      </w:r>
      <w:r w:rsidR="00702D88" w:rsidRPr="00702D88">
        <w:t>reminded everyone</w:t>
      </w:r>
      <w:r w:rsidRPr="00702D88">
        <w:t xml:space="preserve"> that the HCRC was planning to have a contingent march in the 2019 Honolulu Pride Parade, scheduled for October 19, 2019.</w:t>
      </w:r>
    </w:p>
    <w:p w:rsidR="00896AD7" w:rsidRPr="00702D88" w:rsidRDefault="00896AD7" w:rsidP="00E5523D"/>
    <w:p w:rsidR="005D000F" w:rsidRPr="009A3082" w:rsidRDefault="005D000F" w:rsidP="005D000F">
      <w:pPr>
        <w:rPr>
          <w:b/>
          <w:u w:val="single"/>
        </w:rPr>
      </w:pPr>
      <w:r w:rsidRPr="009A3082">
        <w:rPr>
          <w:b/>
          <w:u w:val="single"/>
        </w:rPr>
        <w:t>Next Meeting</w:t>
      </w:r>
    </w:p>
    <w:p w:rsidR="005D000F" w:rsidRPr="009A3082" w:rsidRDefault="005D000F" w:rsidP="005D000F"/>
    <w:p w:rsidR="0064127D" w:rsidRPr="009A3082" w:rsidRDefault="0064127D" w:rsidP="0064127D">
      <w:r w:rsidRPr="009A3082">
        <w:t xml:space="preserve">The </w:t>
      </w:r>
      <w:r w:rsidR="00626C26" w:rsidRPr="009A3082">
        <w:t xml:space="preserve">next meeting of the Commission </w:t>
      </w:r>
      <w:r w:rsidRPr="009A3082">
        <w:t xml:space="preserve">was scheduled for </w:t>
      </w:r>
      <w:r w:rsidR="00331090">
        <w:t>October 25</w:t>
      </w:r>
      <w:r w:rsidR="00E16BB5" w:rsidRPr="009A3082">
        <w:t xml:space="preserve">, </w:t>
      </w:r>
      <w:r w:rsidR="00626C26" w:rsidRPr="009A3082">
        <w:t xml:space="preserve">2019, at </w:t>
      </w:r>
      <w:r w:rsidR="00E72738" w:rsidRPr="009A3082">
        <w:t>noon</w:t>
      </w:r>
      <w:r w:rsidRPr="009A3082">
        <w:t>, subject to polling and confirmation by the Commissioners.</w:t>
      </w:r>
    </w:p>
    <w:p w:rsidR="000E53B3" w:rsidRPr="009A3082" w:rsidRDefault="000E53B3" w:rsidP="0064127D"/>
    <w:p w:rsidR="00F844EC" w:rsidRPr="009A3082" w:rsidRDefault="00D9006B" w:rsidP="00811DDD">
      <w:pPr>
        <w:spacing w:before="120"/>
      </w:pPr>
      <w:r w:rsidRPr="009A3082">
        <w:rPr>
          <w:b/>
        </w:rPr>
        <w:t>Adjournment</w:t>
      </w:r>
      <w:r w:rsidR="00626C26" w:rsidRPr="009A3082">
        <w:rPr>
          <w:b/>
        </w:rPr>
        <w:t>.</w:t>
      </w:r>
    </w:p>
    <w:sectPr w:rsidR="00F844EC" w:rsidRPr="009A3082" w:rsidSect="009A7EAE">
      <w:footerReference w:type="default" r:id="rId8"/>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9B" w:rsidRDefault="00DD269B">
      <w:r>
        <w:separator/>
      </w:r>
    </w:p>
  </w:endnote>
  <w:endnote w:type="continuationSeparator" w:id="0">
    <w:p w:rsidR="00DD269B" w:rsidRDefault="00D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23" w:rsidRDefault="00016523">
    <w:pPr>
      <w:pStyle w:val="Footer"/>
    </w:pPr>
    <w:r>
      <w:tab/>
    </w:r>
    <w:r>
      <w:rPr>
        <w:rStyle w:val="PageNumber"/>
      </w:rPr>
      <w:fldChar w:fldCharType="begin"/>
    </w:r>
    <w:r>
      <w:rPr>
        <w:rStyle w:val="PageNumber"/>
      </w:rPr>
      <w:instrText xml:space="preserve"> PAGE </w:instrText>
    </w:r>
    <w:r>
      <w:rPr>
        <w:rStyle w:val="PageNumber"/>
      </w:rPr>
      <w:fldChar w:fldCharType="separate"/>
    </w:r>
    <w:r w:rsidR="007F46F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9B" w:rsidRDefault="00DD269B">
      <w:r>
        <w:separator/>
      </w:r>
    </w:p>
  </w:footnote>
  <w:footnote w:type="continuationSeparator" w:id="0">
    <w:p w:rsidR="00DD269B" w:rsidRDefault="00DD2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BD0"/>
    <w:multiLevelType w:val="hybridMultilevel"/>
    <w:tmpl w:val="40B489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B11482"/>
    <w:multiLevelType w:val="hybridMultilevel"/>
    <w:tmpl w:val="17C0A1C4"/>
    <w:lvl w:ilvl="0" w:tplc="2982E3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B6AAE"/>
    <w:multiLevelType w:val="hybridMultilevel"/>
    <w:tmpl w:val="5096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6221A"/>
    <w:multiLevelType w:val="hybridMultilevel"/>
    <w:tmpl w:val="D29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593E"/>
    <w:multiLevelType w:val="hybridMultilevel"/>
    <w:tmpl w:val="DCD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E3EA9"/>
    <w:multiLevelType w:val="hybridMultilevel"/>
    <w:tmpl w:val="6C68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A03F6"/>
    <w:multiLevelType w:val="hybridMultilevel"/>
    <w:tmpl w:val="A2C63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70092"/>
    <w:multiLevelType w:val="hybridMultilevel"/>
    <w:tmpl w:val="4F08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475D"/>
    <w:multiLevelType w:val="hybridMultilevel"/>
    <w:tmpl w:val="993ABD88"/>
    <w:lvl w:ilvl="0" w:tplc="C68203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0588F"/>
    <w:multiLevelType w:val="hybridMultilevel"/>
    <w:tmpl w:val="5ED46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5"/>
  </w:num>
  <w:num w:numId="4">
    <w:abstractNumId w:val="0"/>
  </w:num>
  <w:num w:numId="5">
    <w:abstractNumId w:val="7"/>
  </w:num>
  <w:num w:numId="6">
    <w:abstractNumId w:val="8"/>
  </w:num>
  <w:num w:numId="7">
    <w:abstractNumId w:val="9"/>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96"/>
    <w:rsid w:val="00005427"/>
    <w:rsid w:val="00007F2B"/>
    <w:rsid w:val="00011492"/>
    <w:rsid w:val="00013224"/>
    <w:rsid w:val="0001346D"/>
    <w:rsid w:val="00016523"/>
    <w:rsid w:val="00022FEF"/>
    <w:rsid w:val="00024995"/>
    <w:rsid w:val="00024FC4"/>
    <w:rsid w:val="00025936"/>
    <w:rsid w:val="00030354"/>
    <w:rsid w:val="00030D92"/>
    <w:rsid w:val="00031D49"/>
    <w:rsid w:val="00032DC8"/>
    <w:rsid w:val="00034932"/>
    <w:rsid w:val="0003558D"/>
    <w:rsid w:val="000373B9"/>
    <w:rsid w:val="0004280D"/>
    <w:rsid w:val="000435AF"/>
    <w:rsid w:val="00044815"/>
    <w:rsid w:val="00045A95"/>
    <w:rsid w:val="00045AE9"/>
    <w:rsid w:val="00045CB5"/>
    <w:rsid w:val="00045F8A"/>
    <w:rsid w:val="00052514"/>
    <w:rsid w:val="0005379A"/>
    <w:rsid w:val="00054395"/>
    <w:rsid w:val="000557F7"/>
    <w:rsid w:val="00055B2A"/>
    <w:rsid w:val="00065B56"/>
    <w:rsid w:val="000700EA"/>
    <w:rsid w:val="00072133"/>
    <w:rsid w:val="00076C07"/>
    <w:rsid w:val="0007710A"/>
    <w:rsid w:val="000776CC"/>
    <w:rsid w:val="00080539"/>
    <w:rsid w:val="00081831"/>
    <w:rsid w:val="000822B7"/>
    <w:rsid w:val="00082E36"/>
    <w:rsid w:val="000835E7"/>
    <w:rsid w:val="0008528B"/>
    <w:rsid w:val="000909F2"/>
    <w:rsid w:val="000918CB"/>
    <w:rsid w:val="000920A7"/>
    <w:rsid w:val="0009374E"/>
    <w:rsid w:val="00094035"/>
    <w:rsid w:val="00094740"/>
    <w:rsid w:val="0009595B"/>
    <w:rsid w:val="000A2E28"/>
    <w:rsid w:val="000A4887"/>
    <w:rsid w:val="000A4C3A"/>
    <w:rsid w:val="000A4D4F"/>
    <w:rsid w:val="000A5B6C"/>
    <w:rsid w:val="000A6371"/>
    <w:rsid w:val="000A7708"/>
    <w:rsid w:val="000A7C4A"/>
    <w:rsid w:val="000B0339"/>
    <w:rsid w:val="000B16D5"/>
    <w:rsid w:val="000B1E1A"/>
    <w:rsid w:val="000B669C"/>
    <w:rsid w:val="000C095B"/>
    <w:rsid w:val="000C24BE"/>
    <w:rsid w:val="000C33DA"/>
    <w:rsid w:val="000C5A91"/>
    <w:rsid w:val="000C726F"/>
    <w:rsid w:val="000D3239"/>
    <w:rsid w:val="000D4E0B"/>
    <w:rsid w:val="000D682F"/>
    <w:rsid w:val="000D7645"/>
    <w:rsid w:val="000D7C6C"/>
    <w:rsid w:val="000E53B3"/>
    <w:rsid w:val="000E6613"/>
    <w:rsid w:val="000F1DDA"/>
    <w:rsid w:val="000F5030"/>
    <w:rsid w:val="000F622D"/>
    <w:rsid w:val="000F6296"/>
    <w:rsid w:val="000F7EB2"/>
    <w:rsid w:val="001013E8"/>
    <w:rsid w:val="001049C6"/>
    <w:rsid w:val="00104D67"/>
    <w:rsid w:val="001062DE"/>
    <w:rsid w:val="0010686F"/>
    <w:rsid w:val="00107507"/>
    <w:rsid w:val="00111EEF"/>
    <w:rsid w:val="001120D4"/>
    <w:rsid w:val="00114D47"/>
    <w:rsid w:val="001202DB"/>
    <w:rsid w:val="0012251A"/>
    <w:rsid w:val="00130E7D"/>
    <w:rsid w:val="00131090"/>
    <w:rsid w:val="001337B7"/>
    <w:rsid w:val="001342A2"/>
    <w:rsid w:val="00134CCE"/>
    <w:rsid w:val="00135462"/>
    <w:rsid w:val="00137EC0"/>
    <w:rsid w:val="00140C95"/>
    <w:rsid w:val="00141044"/>
    <w:rsid w:val="001435FB"/>
    <w:rsid w:val="00144F3A"/>
    <w:rsid w:val="001450A7"/>
    <w:rsid w:val="0014561A"/>
    <w:rsid w:val="001470B8"/>
    <w:rsid w:val="00147F8D"/>
    <w:rsid w:val="00155807"/>
    <w:rsid w:val="001564F6"/>
    <w:rsid w:val="0016128E"/>
    <w:rsid w:val="00161416"/>
    <w:rsid w:val="00162081"/>
    <w:rsid w:val="00162678"/>
    <w:rsid w:val="001628BA"/>
    <w:rsid w:val="00162991"/>
    <w:rsid w:val="00163639"/>
    <w:rsid w:val="00163643"/>
    <w:rsid w:val="00163D8D"/>
    <w:rsid w:val="0016792A"/>
    <w:rsid w:val="00170B79"/>
    <w:rsid w:val="00175472"/>
    <w:rsid w:val="001768DB"/>
    <w:rsid w:val="001774A0"/>
    <w:rsid w:val="00181E81"/>
    <w:rsid w:val="00183C59"/>
    <w:rsid w:val="001849F0"/>
    <w:rsid w:val="00184FA7"/>
    <w:rsid w:val="001854D1"/>
    <w:rsid w:val="00186C3B"/>
    <w:rsid w:val="00187398"/>
    <w:rsid w:val="00187D55"/>
    <w:rsid w:val="00192F75"/>
    <w:rsid w:val="001947A1"/>
    <w:rsid w:val="00196238"/>
    <w:rsid w:val="0019729A"/>
    <w:rsid w:val="001A0066"/>
    <w:rsid w:val="001A099C"/>
    <w:rsid w:val="001A178B"/>
    <w:rsid w:val="001A200C"/>
    <w:rsid w:val="001A356D"/>
    <w:rsid w:val="001A535A"/>
    <w:rsid w:val="001A55D3"/>
    <w:rsid w:val="001A70E7"/>
    <w:rsid w:val="001A7E08"/>
    <w:rsid w:val="001B02C7"/>
    <w:rsid w:val="001B4EB9"/>
    <w:rsid w:val="001B69D7"/>
    <w:rsid w:val="001C1B4E"/>
    <w:rsid w:val="001C2DD2"/>
    <w:rsid w:val="001C3908"/>
    <w:rsid w:val="001C5804"/>
    <w:rsid w:val="001D0131"/>
    <w:rsid w:val="001D139C"/>
    <w:rsid w:val="001D1E2C"/>
    <w:rsid w:val="001D26AE"/>
    <w:rsid w:val="001D27C0"/>
    <w:rsid w:val="001D3042"/>
    <w:rsid w:val="001D3520"/>
    <w:rsid w:val="001D3BD4"/>
    <w:rsid w:val="001D47B5"/>
    <w:rsid w:val="001D4FFA"/>
    <w:rsid w:val="001D56EE"/>
    <w:rsid w:val="001D6CE2"/>
    <w:rsid w:val="001E1A54"/>
    <w:rsid w:val="001E2306"/>
    <w:rsid w:val="001E57A8"/>
    <w:rsid w:val="001F299F"/>
    <w:rsid w:val="001F4CE9"/>
    <w:rsid w:val="001F70D5"/>
    <w:rsid w:val="00200E78"/>
    <w:rsid w:val="002015A5"/>
    <w:rsid w:val="00204170"/>
    <w:rsid w:val="00204316"/>
    <w:rsid w:val="00204967"/>
    <w:rsid w:val="00210025"/>
    <w:rsid w:val="00212184"/>
    <w:rsid w:val="00212AF5"/>
    <w:rsid w:val="00213B44"/>
    <w:rsid w:val="00216708"/>
    <w:rsid w:val="00216A77"/>
    <w:rsid w:val="0022151B"/>
    <w:rsid w:val="00221BEE"/>
    <w:rsid w:val="00224200"/>
    <w:rsid w:val="0022488D"/>
    <w:rsid w:val="00225901"/>
    <w:rsid w:val="00230AE8"/>
    <w:rsid w:val="00231A5F"/>
    <w:rsid w:val="00233E2A"/>
    <w:rsid w:val="00234207"/>
    <w:rsid w:val="0024264F"/>
    <w:rsid w:val="002440D1"/>
    <w:rsid w:val="00244D56"/>
    <w:rsid w:val="00250B20"/>
    <w:rsid w:val="00251A6B"/>
    <w:rsid w:val="00251FBB"/>
    <w:rsid w:val="0025210E"/>
    <w:rsid w:val="0025239B"/>
    <w:rsid w:val="00252E25"/>
    <w:rsid w:val="00255D41"/>
    <w:rsid w:val="00263D7F"/>
    <w:rsid w:val="00266623"/>
    <w:rsid w:val="00271CC0"/>
    <w:rsid w:val="00273D95"/>
    <w:rsid w:val="0027512F"/>
    <w:rsid w:val="0027563F"/>
    <w:rsid w:val="00276840"/>
    <w:rsid w:val="0028211B"/>
    <w:rsid w:val="002832E4"/>
    <w:rsid w:val="00283D86"/>
    <w:rsid w:val="002849E6"/>
    <w:rsid w:val="00286E14"/>
    <w:rsid w:val="00293E33"/>
    <w:rsid w:val="00295296"/>
    <w:rsid w:val="00296331"/>
    <w:rsid w:val="002A0781"/>
    <w:rsid w:val="002A1B1D"/>
    <w:rsid w:val="002A2168"/>
    <w:rsid w:val="002A333A"/>
    <w:rsid w:val="002B071D"/>
    <w:rsid w:val="002B3EEB"/>
    <w:rsid w:val="002B4365"/>
    <w:rsid w:val="002B7D2C"/>
    <w:rsid w:val="002C1EDE"/>
    <w:rsid w:val="002C5D4E"/>
    <w:rsid w:val="002C7802"/>
    <w:rsid w:val="002D010A"/>
    <w:rsid w:val="002D1CCE"/>
    <w:rsid w:val="002D1DC1"/>
    <w:rsid w:val="002D5F31"/>
    <w:rsid w:val="002E0BDC"/>
    <w:rsid w:val="002E1D5F"/>
    <w:rsid w:val="002E75A7"/>
    <w:rsid w:val="002F3ECE"/>
    <w:rsid w:val="002F509C"/>
    <w:rsid w:val="002F5DCC"/>
    <w:rsid w:val="0030122F"/>
    <w:rsid w:val="00301E52"/>
    <w:rsid w:val="00302198"/>
    <w:rsid w:val="00303777"/>
    <w:rsid w:val="0030729A"/>
    <w:rsid w:val="00311A92"/>
    <w:rsid w:val="00312CBA"/>
    <w:rsid w:val="00313FC6"/>
    <w:rsid w:val="00314471"/>
    <w:rsid w:val="00316F79"/>
    <w:rsid w:val="00323B2C"/>
    <w:rsid w:val="00324329"/>
    <w:rsid w:val="003301E4"/>
    <w:rsid w:val="00331090"/>
    <w:rsid w:val="00336A83"/>
    <w:rsid w:val="00340BDA"/>
    <w:rsid w:val="00341100"/>
    <w:rsid w:val="003434C9"/>
    <w:rsid w:val="0034353D"/>
    <w:rsid w:val="00343E91"/>
    <w:rsid w:val="00345FE5"/>
    <w:rsid w:val="00353216"/>
    <w:rsid w:val="00356DEA"/>
    <w:rsid w:val="00361431"/>
    <w:rsid w:val="0036203A"/>
    <w:rsid w:val="0036233C"/>
    <w:rsid w:val="00364C80"/>
    <w:rsid w:val="0036602C"/>
    <w:rsid w:val="0036693D"/>
    <w:rsid w:val="0036783D"/>
    <w:rsid w:val="00370584"/>
    <w:rsid w:val="00370ED8"/>
    <w:rsid w:val="0037163C"/>
    <w:rsid w:val="00373892"/>
    <w:rsid w:val="00375D8A"/>
    <w:rsid w:val="00377543"/>
    <w:rsid w:val="00381F7C"/>
    <w:rsid w:val="0038372E"/>
    <w:rsid w:val="00384AF8"/>
    <w:rsid w:val="00385D08"/>
    <w:rsid w:val="00390EFE"/>
    <w:rsid w:val="00391976"/>
    <w:rsid w:val="00393BF4"/>
    <w:rsid w:val="0039592F"/>
    <w:rsid w:val="0039688F"/>
    <w:rsid w:val="00396BCE"/>
    <w:rsid w:val="00396CFA"/>
    <w:rsid w:val="003A01B1"/>
    <w:rsid w:val="003A194E"/>
    <w:rsid w:val="003A21F2"/>
    <w:rsid w:val="003A4C40"/>
    <w:rsid w:val="003A63AA"/>
    <w:rsid w:val="003A6885"/>
    <w:rsid w:val="003B0D39"/>
    <w:rsid w:val="003B245D"/>
    <w:rsid w:val="003B40F4"/>
    <w:rsid w:val="003B66BF"/>
    <w:rsid w:val="003B6E47"/>
    <w:rsid w:val="003C4E54"/>
    <w:rsid w:val="003C589D"/>
    <w:rsid w:val="003D3310"/>
    <w:rsid w:val="003D4096"/>
    <w:rsid w:val="003D4ECA"/>
    <w:rsid w:val="003E08B5"/>
    <w:rsid w:val="003E23F0"/>
    <w:rsid w:val="003E35A9"/>
    <w:rsid w:val="003E5265"/>
    <w:rsid w:val="003E57D4"/>
    <w:rsid w:val="003F6CE4"/>
    <w:rsid w:val="003F752C"/>
    <w:rsid w:val="003F7AD1"/>
    <w:rsid w:val="003F7E62"/>
    <w:rsid w:val="0040031A"/>
    <w:rsid w:val="004006A6"/>
    <w:rsid w:val="00402369"/>
    <w:rsid w:val="0040370C"/>
    <w:rsid w:val="004047B7"/>
    <w:rsid w:val="00405230"/>
    <w:rsid w:val="00406F44"/>
    <w:rsid w:val="00411D7F"/>
    <w:rsid w:val="004174B0"/>
    <w:rsid w:val="00420DA8"/>
    <w:rsid w:val="004217E8"/>
    <w:rsid w:val="00424286"/>
    <w:rsid w:val="004274FD"/>
    <w:rsid w:val="00432CF6"/>
    <w:rsid w:val="004335CC"/>
    <w:rsid w:val="0043484A"/>
    <w:rsid w:val="00434993"/>
    <w:rsid w:val="004351CA"/>
    <w:rsid w:val="00436244"/>
    <w:rsid w:val="004418AA"/>
    <w:rsid w:val="00441DF0"/>
    <w:rsid w:val="00444902"/>
    <w:rsid w:val="0044523C"/>
    <w:rsid w:val="00446BB0"/>
    <w:rsid w:val="00447489"/>
    <w:rsid w:val="004515E0"/>
    <w:rsid w:val="004532CB"/>
    <w:rsid w:val="00454FD1"/>
    <w:rsid w:val="00462202"/>
    <w:rsid w:val="004632CB"/>
    <w:rsid w:val="004643A0"/>
    <w:rsid w:val="00465F98"/>
    <w:rsid w:val="00470318"/>
    <w:rsid w:val="00470ED0"/>
    <w:rsid w:val="00470F44"/>
    <w:rsid w:val="00470F94"/>
    <w:rsid w:val="004719AB"/>
    <w:rsid w:val="00473A8B"/>
    <w:rsid w:val="0047570E"/>
    <w:rsid w:val="00475EDB"/>
    <w:rsid w:val="004764A1"/>
    <w:rsid w:val="00477F98"/>
    <w:rsid w:val="0048166C"/>
    <w:rsid w:val="00492006"/>
    <w:rsid w:val="004929FC"/>
    <w:rsid w:val="004935F7"/>
    <w:rsid w:val="004A27AA"/>
    <w:rsid w:val="004A3CC0"/>
    <w:rsid w:val="004A52D3"/>
    <w:rsid w:val="004A68B6"/>
    <w:rsid w:val="004A6AB2"/>
    <w:rsid w:val="004A705A"/>
    <w:rsid w:val="004A7FE9"/>
    <w:rsid w:val="004B2FE2"/>
    <w:rsid w:val="004B3445"/>
    <w:rsid w:val="004B3DE3"/>
    <w:rsid w:val="004B527A"/>
    <w:rsid w:val="004C3B64"/>
    <w:rsid w:val="004C4C4F"/>
    <w:rsid w:val="004C4FBD"/>
    <w:rsid w:val="004D0AE2"/>
    <w:rsid w:val="004D38AF"/>
    <w:rsid w:val="004D5169"/>
    <w:rsid w:val="004D53D8"/>
    <w:rsid w:val="004D5ED3"/>
    <w:rsid w:val="004D6460"/>
    <w:rsid w:val="004E1526"/>
    <w:rsid w:val="004E5146"/>
    <w:rsid w:val="004E649B"/>
    <w:rsid w:val="004F197E"/>
    <w:rsid w:val="004F341F"/>
    <w:rsid w:val="004F68CE"/>
    <w:rsid w:val="004F6A9D"/>
    <w:rsid w:val="004F6C20"/>
    <w:rsid w:val="00500A69"/>
    <w:rsid w:val="00502206"/>
    <w:rsid w:val="00502CB7"/>
    <w:rsid w:val="00505155"/>
    <w:rsid w:val="0050637F"/>
    <w:rsid w:val="0051002C"/>
    <w:rsid w:val="00511551"/>
    <w:rsid w:val="005143F3"/>
    <w:rsid w:val="0051566F"/>
    <w:rsid w:val="005165AD"/>
    <w:rsid w:val="0051685C"/>
    <w:rsid w:val="00517AC2"/>
    <w:rsid w:val="0052251A"/>
    <w:rsid w:val="0052476C"/>
    <w:rsid w:val="0052492A"/>
    <w:rsid w:val="00525F49"/>
    <w:rsid w:val="00530A82"/>
    <w:rsid w:val="00531C5E"/>
    <w:rsid w:val="005324DA"/>
    <w:rsid w:val="005329FC"/>
    <w:rsid w:val="0053461C"/>
    <w:rsid w:val="00537573"/>
    <w:rsid w:val="00541213"/>
    <w:rsid w:val="00544792"/>
    <w:rsid w:val="00545989"/>
    <w:rsid w:val="00550D35"/>
    <w:rsid w:val="00550DEB"/>
    <w:rsid w:val="0055481C"/>
    <w:rsid w:val="00554916"/>
    <w:rsid w:val="00554B7D"/>
    <w:rsid w:val="00556C46"/>
    <w:rsid w:val="00556D23"/>
    <w:rsid w:val="00556F08"/>
    <w:rsid w:val="0055736B"/>
    <w:rsid w:val="00557A1C"/>
    <w:rsid w:val="00557D8B"/>
    <w:rsid w:val="00560919"/>
    <w:rsid w:val="0056095B"/>
    <w:rsid w:val="00563DB1"/>
    <w:rsid w:val="005660B9"/>
    <w:rsid w:val="00567241"/>
    <w:rsid w:val="005678E7"/>
    <w:rsid w:val="00570E3B"/>
    <w:rsid w:val="00570F9B"/>
    <w:rsid w:val="00571CE8"/>
    <w:rsid w:val="00571E7C"/>
    <w:rsid w:val="00571EEC"/>
    <w:rsid w:val="005727E8"/>
    <w:rsid w:val="005736D9"/>
    <w:rsid w:val="00584073"/>
    <w:rsid w:val="00590317"/>
    <w:rsid w:val="00592DA7"/>
    <w:rsid w:val="005939B9"/>
    <w:rsid w:val="00594A94"/>
    <w:rsid w:val="00596618"/>
    <w:rsid w:val="00597F58"/>
    <w:rsid w:val="005A2118"/>
    <w:rsid w:val="005A5343"/>
    <w:rsid w:val="005A7D92"/>
    <w:rsid w:val="005B18DC"/>
    <w:rsid w:val="005B2E8B"/>
    <w:rsid w:val="005C029E"/>
    <w:rsid w:val="005C0D86"/>
    <w:rsid w:val="005C1BE1"/>
    <w:rsid w:val="005C32C1"/>
    <w:rsid w:val="005D000F"/>
    <w:rsid w:val="005D0D0A"/>
    <w:rsid w:val="005D257E"/>
    <w:rsid w:val="005D4FC9"/>
    <w:rsid w:val="005D656C"/>
    <w:rsid w:val="005E4DA5"/>
    <w:rsid w:val="005E67F1"/>
    <w:rsid w:val="005F3965"/>
    <w:rsid w:val="005F3A0B"/>
    <w:rsid w:val="00600D2E"/>
    <w:rsid w:val="00600ED4"/>
    <w:rsid w:val="006041D6"/>
    <w:rsid w:val="00604414"/>
    <w:rsid w:val="006059C6"/>
    <w:rsid w:val="0061094F"/>
    <w:rsid w:val="00610A97"/>
    <w:rsid w:val="00610F7B"/>
    <w:rsid w:val="00612799"/>
    <w:rsid w:val="00612D9A"/>
    <w:rsid w:val="00616767"/>
    <w:rsid w:val="00616D2B"/>
    <w:rsid w:val="00617B89"/>
    <w:rsid w:val="00620395"/>
    <w:rsid w:val="00621684"/>
    <w:rsid w:val="00621B36"/>
    <w:rsid w:val="00621EC5"/>
    <w:rsid w:val="0062664E"/>
    <w:rsid w:val="006268E4"/>
    <w:rsid w:val="00626C26"/>
    <w:rsid w:val="00627E1F"/>
    <w:rsid w:val="006321F7"/>
    <w:rsid w:val="00632D92"/>
    <w:rsid w:val="00633826"/>
    <w:rsid w:val="00634200"/>
    <w:rsid w:val="00634D60"/>
    <w:rsid w:val="00634F2E"/>
    <w:rsid w:val="006353A8"/>
    <w:rsid w:val="006402C6"/>
    <w:rsid w:val="0064127D"/>
    <w:rsid w:val="0064242D"/>
    <w:rsid w:val="006430F4"/>
    <w:rsid w:val="0064376B"/>
    <w:rsid w:val="006455CC"/>
    <w:rsid w:val="00646B56"/>
    <w:rsid w:val="006505E8"/>
    <w:rsid w:val="00650EB1"/>
    <w:rsid w:val="00657928"/>
    <w:rsid w:val="006600CB"/>
    <w:rsid w:val="0066110B"/>
    <w:rsid w:val="00661FC7"/>
    <w:rsid w:val="006752B5"/>
    <w:rsid w:val="00677346"/>
    <w:rsid w:val="00680F1C"/>
    <w:rsid w:val="00684A53"/>
    <w:rsid w:val="00685A37"/>
    <w:rsid w:val="0068612A"/>
    <w:rsid w:val="00686EE8"/>
    <w:rsid w:val="00690DB9"/>
    <w:rsid w:val="0069149D"/>
    <w:rsid w:val="00694088"/>
    <w:rsid w:val="00695DF6"/>
    <w:rsid w:val="006A48E5"/>
    <w:rsid w:val="006A6C6B"/>
    <w:rsid w:val="006A7FA0"/>
    <w:rsid w:val="006B251E"/>
    <w:rsid w:val="006B531B"/>
    <w:rsid w:val="006B5EA3"/>
    <w:rsid w:val="006C0C74"/>
    <w:rsid w:val="006C49AD"/>
    <w:rsid w:val="006C58F2"/>
    <w:rsid w:val="006D0FD6"/>
    <w:rsid w:val="006D189A"/>
    <w:rsid w:val="006D3597"/>
    <w:rsid w:val="006D3C2E"/>
    <w:rsid w:val="006D7DB3"/>
    <w:rsid w:val="006E0D49"/>
    <w:rsid w:val="006E11ED"/>
    <w:rsid w:val="006E2AA9"/>
    <w:rsid w:val="006E2ACC"/>
    <w:rsid w:val="006E2BB6"/>
    <w:rsid w:val="006E3067"/>
    <w:rsid w:val="006E47A3"/>
    <w:rsid w:val="006E5F2A"/>
    <w:rsid w:val="006E6017"/>
    <w:rsid w:val="006E6057"/>
    <w:rsid w:val="006E6C59"/>
    <w:rsid w:val="006F152C"/>
    <w:rsid w:val="006F1A89"/>
    <w:rsid w:val="006F3D38"/>
    <w:rsid w:val="006F4246"/>
    <w:rsid w:val="006F4B13"/>
    <w:rsid w:val="006F4E76"/>
    <w:rsid w:val="00702D88"/>
    <w:rsid w:val="00703134"/>
    <w:rsid w:val="00704839"/>
    <w:rsid w:val="0070686F"/>
    <w:rsid w:val="00707012"/>
    <w:rsid w:val="00714EC5"/>
    <w:rsid w:val="00717855"/>
    <w:rsid w:val="00717B79"/>
    <w:rsid w:val="007206CE"/>
    <w:rsid w:val="00724B3B"/>
    <w:rsid w:val="007306A1"/>
    <w:rsid w:val="00731DAB"/>
    <w:rsid w:val="00731F28"/>
    <w:rsid w:val="007327D6"/>
    <w:rsid w:val="00733E29"/>
    <w:rsid w:val="007346FE"/>
    <w:rsid w:val="0073646B"/>
    <w:rsid w:val="0074025D"/>
    <w:rsid w:val="00742B69"/>
    <w:rsid w:val="00742E7A"/>
    <w:rsid w:val="0074499B"/>
    <w:rsid w:val="00746751"/>
    <w:rsid w:val="00750DC2"/>
    <w:rsid w:val="00751366"/>
    <w:rsid w:val="007530CC"/>
    <w:rsid w:val="00756D22"/>
    <w:rsid w:val="0076185F"/>
    <w:rsid w:val="00763D00"/>
    <w:rsid w:val="00764C57"/>
    <w:rsid w:val="0076587C"/>
    <w:rsid w:val="00771643"/>
    <w:rsid w:val="00777DC2"/>
    <w:rsid w:val="0078011F"/>
    <w:rsid w:val="00780D96"/>
    <w:rsid w:val="0078111D"/>
    <w:rsid w:val="007879D4"/>
    <w:rsid w:val="00791281"/>
    <w:rsid w:val="00793ECD"/>
    <w:rsid w:val="007940DE"/>
    <w:rsid w:val="0079614C"/>
    <w:rsid w:val="007971A7"/>
    <w:rsid w:val="00797FC7"/>
    <w:rsid w:val="007A007C"/>
    <w:rsid w:val="007A032C"/>
    <w:rsid w:val="007A4BE4"/>
    <w:rsid w:val="007A564E"/>
    <w:rsid w:val="007A73E4"/>
    <w:rsid w:val="007A7CAE"/>
    <w:rsid w:val="007A7F8F"/>
    <w:rsid w:val="007B2FF9"/>
    <w:rsid w:val="007B3AB5"/>
    <w:rsid w:val="007B5126"/>
    <w:rsid w:val="007B5680"/>
    <w:rsid w:val="007B69AE"/>
    <w:rsid w:val="007C1AA4"/>
    <w:rsid w:val="007C3CCE"/>
    <w:rsid w:val="007C4955"/>
    <w:rsid w:val="007C5F71"/>
    <w:rsid w:val="007C7061"/>
    <w:rsid w:val="007D07EF"/>
    <w:rsid w:val="007D17CE"/>
    <w:rsid w:val="007E1D3E"/>
    <w:rsid w:val="007E2F80"/>
    <w:rsid w:val="007E4F4F"/>
    <w:rsid w:val="007F21D5"/>
    <w:rsid w:val="007F3DB5"/>
    <w:rsid w:val="007F3DD6"/>
    <w:rsid w:val="007F46F2"/>
    <w:rsid w:val="007F5621"/>
    <w:rsid w:val="007F59EB"/>
    <w:rsid w:val="007F5EE2"/>
    <w:rsid w:val="00801A22"/>
    <w:rsid w:val="00801FA3"/>
    <w:rsid w:val="00805D7F"/>
    <w:rsid w:val="008072EA"/>
    <w:rsid w:val="00807A82"/>
    <w:rsid w:val="0081062E"/>
    <w:rsid w:val="00811DDD"/>
    <w:rsid w:val="00811FB8"/>
    <w:rsid w:val="00814973"/>
    <w:rsid w:val="008173D1"/>
    <w:rsid w:val="00817C7F"/>
    <w:rsid w:val="00820166"/>
    <w:rsid w:val="00820771"/>
    <w:rsid w:val="00820B33"/>
    <w:rsid w:val="00821FE8"/>
    <w:rsid w:val="0082321E"/>
    <w:rsid w:val="00823CDF"/>
    <w:rsid w:val="00825105"/>
    <w:rsid w:val="00825E43"/>
    <w:rsid w:val="0084183B"/>
    <w:rsid w:val="0084608C"/>
    <w:rsid w:val="0084700F"/>
    <w:rsid w:val="0085010C"/>
    <w:rsid w:val="0085181C"/>
    <w:rsid w:val="008545C5"/>
    <w:rsid w:val="00861F9E"/>
    <w:rsid w:val="00863C9D"/>
    <w:rsid w:val="00865492"/>
    <w:rsid w:val="00866FA7"/>
    <w:rsid w:val="00871C6B"/>
    <w:rsid w:val="00872228"/>
    <w:rsid w:val="0087245E"/>
    <w:rsid w:val="008729FF"/>
    <w:rsid w:val="00876D8B"/>
    <w:rsid w:val="00876DDC"/>
    <w:rsid w:val="00877956"/>
    <w:rsid w:val="00884627"/>
    <w:rsid w:val="00886BCD"/>
    <w:rsid w:val="00890D7D"/>
    <w:rsid w:val="0089225B"/>
    <w:rsid w:val="00892C10"/>
    <w:rsid w:val="00894157"/>
    <w:rsid w:val="00896AD7"/>
    <w:rsid w:val="008979AE"/>
    <w:rsid w:val="008A356A"/>
    <w:rsid w:val="008A359A"/>
    <w:rsid w:val="008A58A1"/>
    <w:rsid w:val="008A77D1"/>
    <w:rsid w:val="008A78CB"/>
    <w:rsid w:val="008B024E"/>
    <w:rsid w:val="008B08DB"/>
    <w:rsid w:val="008B0923"/>
    <w:rsid w:val="008B1E73"/>
    <w:rsid w:val="008B2A3F"/>
    <w:rsid w:val="008B49F8"/>
    <w:rsid w:val="008C2704"/>
    <w:rsid w:val="008C2E05"/>
    <w:rsid w:val="008C671B"/>
    <w:rsid w:val="008C6F90"/>
    <w:rsid w:val="008D0998"/>
    <w:rsid w:val="008D6237"/>
    <w:rsid w:val="008D67DF"/>
    <w:rsid w:val="008D6C1D"/>
    <w:rsid w:val="008E05B3"/>
    <w:rsid w:val="008E25FF"/>
    <w:rsid w:val="008E742E"/>
    <w:rsid w:val="008F2AB6"/>
    <w:rsid w:val="008F6EEF"/>
    <w:rsid w:val="009047F8"/>
    <w:rsid w:val="00904DD9"/>
    <w:rsid w:val="00906967"/>
    <w:rsid w:val="00907003"/>
    <w:rsid w:val="00910474"/>
    <w:rsid w:val="00911949"/>
    <w:rsid w:val="009125E6"/>
    <w:rsid w:val="00915D13"/>
    <w:rsid w:val="00916810"/>
    <w:rsid w:val="009176B2"/>
    <w:rsid w:val="00917FAF"/>
    <w:rsid w:val="0092010E"/>
    <w:rsid w:val="00925D98"/>
    <w:rsid w:val="009263FF"/>
    <w:rsid w:val="0092680D"/>
    <w:rsid w:val="00927563"/>
    <w:rsid w:val="00930545"/>
    <w:rsid w:val="00933810"/>
    <w:rsid w:val="00940AB8"/>
    <w:rsid w:val="0094174B"/>
    <w:rsid w:val="00942885"/>
    <w:rsid w:val="00944FC7"/>
    <w:rsid w:val="00945420"/>
    <w:rsid w:val="00946DB0"/>
    <w:rsid w:val="00952820"/>
    <w:rsid w:val="0095321C"/>
    <w:rsid w:val="009537AC"/>
    <w:rsid w:val="00954C58"/>
    <w:rsid w:val="00955958"/>
    <w:rsid w:val="00955BC5"/>
    <w:rsid w:val="0095659B"/>
    <w:rsid w:val="00960513"/>
    <w:rsid w:val="009619FE"/>
    <w:rsid w:val="00962E20"/>
    <w:rsid w:val="00963F07"/>
    <w:rsid w:val="00963F52"/>
    <w:rsid w:val="0096710B"/>
    <w:rsid w:val="00970CCD"/>
    <w:rsid w:val="00973249"/>
    <w:rsid w:val="0098033D"/>
    <w:rsid w:val="00990F6A"/>
    <w:rsid w:val="0099151C"/>
    <w:rsid w:val="00993B5D"/>
    <w:rsid w:val="00994BEA"/>
    <w:rsid w:val="00996580"/>
    <w:rsid w:val="009A1431"/>
    <w:rsid w:val="009A29ED"/>
    <w:rsid w:val="009A3082"/>
    <w:rsid w:val="009A5A05"/>
    <w:rsid w:val="009A63EA"/>
    <w:rsid w:val="009A7B32"/>
    <w:rsid w:val="009A7EAE"/>
    <w:rsid w:val="009B2DBA"/>
    <w:rsid w:val="009B3FB8"/>
    <w:rsid w:val="009B7A4E"/>
    <w:rsid w:val="009C0BAE"/>
    <w:rsid w:val="009C2C8E"/>
    <w:rsid w:val="009C6140"/>
    <w:rsid w:val="009D69E1"/>
    <w:rsid w:val="009D755E"/>
    <w:rsid w:val="009D7B0C"/>
    <w:rsid w:val="009F2403"/>
    <w:rsid w:val="009F2932"/>
    <w:rsid w:val="009F3169"/>
    <w:rsid w:val="009F445C"/>
    <w:rsid w:val="00A00E45"/>
    <w:rsid w:val="00A0188E"/>
    <w:rsid w:val="00A02D8D"/>
    <w:rsid w:val="00A04FEE"/>
    <w:rsid w:val="00A05525"/>
    <w:rsid w:val="00A05F48"/>
    <w:rsid w:val="00A07EBA"/>
    <w:rsid w:val="00A15D3E"/>
    <w:rsid w:val="00A16F3E"/>
    <w:rsid w:val="00A203BC"/>
    <w:rsid w:val="00A21A64"/>
    <w:rsid w:val="00A22DF0"/>
    <w:rsid w:val="00A23F81"/>
    <w:rsid w:val="00A24979"/>
    <w:rsid w:val="00A25FDE"/>
    <w:rsid w:val="00A33361"/>
    <w:rsid w:val="00A36C64"/>
    <w:rsid w:val="00A379B9"/>
    <w:rsid w:val="00A41615"/>
    <w:rsid w:val="00A41B5B"/>
    <w:rsid w:val="00A45089"/>
    <w:rsid w:val="00A46D05"/>
    <w:rsid w:val="00A4797F"/>
    <w:rsid w:val="00A5116D"/>
    <w:rsid w:val="00A62C5B"/>
    <w:rsid w:val="00A63BEA"/>
    <w:rsid w:val="00A665EB"/>
    <w:rsid w:val="00A67BC3"/>
    <w:rsid w:val="00A72C24"/>
    <w:rsid w:val="00A73C87"/>
    <w:rsid w:val="00A7486E"/>
    <w:rsid w:val="00A776F7"/>
    <w:rsid w:val="00A80458"/>
    <w:rsid w:val="00A814B6"/>
    <w:rsid w:val="00A8429E"/>
    <w:rsid w:val="00A84303"/>
    <w:rsid w:val="00A84319"/>
    <w:rsid w:val="00A8462C"/>
    <w:rsid w:val="00A86325"/>
    <w:rsid w:val="00A9109A"/>
    <w:rsid w:val="00A93B95"/>
    <w:rsid w:val="00A969C9"/>
    <w:rsid w:val="00AA5903"/>
    <w:rsid w:val="00AA635F"/>
    <w:rsid w:val="00AA7C53"/>
    <w:rsid w:val="00AA7E44"/>
    <w:rsid w:val="00AA7FE4"/>
    <w:rsid w:val="00AB0A9A"/>
    <w:rsid w:val="00AB18CB"/>
    <w:rsid w:val="00AB3166"/>
    <w:rsid w:val="00AB490A"/>
    <w:rsid w:val="00AC2D7C"/>
    <w:rsid w:val="00AC39AD"/>
    <w:rsid w:val="00AC595A"/>
    <w:rsid w:val="00AD5E09"/>
    <w:rsid w:val="00AE02BA"/>
    <w:rsid w:val="00AE27E5"/>
    <w:rsid w:val="00AE2BD0"/>
    <w:rsid w:val="00AE5A15"/>
    <w:rsid w:val="00AE5EF1"/>
    <w:rsid w:val="00AE7D23"/>
    <w:rsid w:val="00AF03EE"/>
    <w:rsid w:val="00AF5FAD"/>
    <w:rsid w:val="00AF6371"/>
    <w:rsid w:val="00AF7430"/>
    <w:rsid w:val="00B03EE1"/>
    <w:rsid w:val="00B045B9"/>
    <w:rsid w:val="00B10F39"/>
    <w:rsid w:val="00B12A1A"/>
    <w:rsid w:val="00B12C2F"/>
    <w:rsid w:val="00B14D90"/>
    <w:rsid w:val="00B24180"/>
    <w:rsid w:val="00B25E4F"/>
    <w:rsid w:val="00B269B1"/>
    <w:rsid w:val="00B33059"/>
    <w:rsid w:val="00B330F2"/>
    <w:rsid w:val="00B359E3"/>
    <w:rsid w:val="00B35D9B"/>
    <w:rsid w:val="00B3646A"/>
    <w:rsid w:val="00B36C15"/>
    <w:rsid w:val="00B41255"/>
    <w:rsid w:val="00B41554"/>
    <w:rsid w:val="00B4670D"/>
    <w:rsid w:val="00B4758F"/>
    <w:rsid w:val="00B47AA6"/>
    <w:rsid w:val="00B512F0"/>
    <w:rsid w:val="00B51675"/>
    <w:rsid w:val="00B51F59"/>
    <w:rsid w:val="00B52E35"/>
    <w:rsid w:val="00B55246"/>
    <w:rsid w:val="00B55807"/>
    <w:rsid w:val="00B562E4"/>
    <w:rsid w:val="00B56B0B"/>
    <w:rsid w:val="00B57652"/>
    <w:rsid w:val="00B57771"/>
    <w:rsid w:val="00B6046B"/>
    <w:rsid w:val="00B60495"/>
    <w:rsid w:val="00B6228C"/>
    <w:rsid w:val="00B6358B"/>
    <w:rsid w:val="00B63FE5"/>
    <w:rsid w:val="00B65C25"/>
    <w:rsid w:val="00B66244"/>
    <w:rsid w:val="00B6628C"/>
    <w:rsid w:val="00B70027"/>
    <w:rsid w:val="00B76047"/>
    <w:rsid w:val="00B76D75"/>
    <w:rsid w:val="00B82710"/>
    <w:rsid w:val="00B8296F"/>
    <w:rsid w:val="00B833A2"/>
    <w:rsid w:val="00B837E9"/>
    <w:rsid w:val="00B84D93"/>
    <w:rsid w:val="00B852B2"/>
    <w:rsid w:val="00B870A2"/>
    <w:rsid w:val="00B87B85"/>
    <w:rsid w:val="00B91032"/>
    <w:rsid w:val="00B91666"/>
    <w:rsid w:val="00B91C93"/>
    <w:rsid w:val="00B923EC"/>
    <w:rsid w:val="00B970A2"/>
    <w:rsid w:val="00B97F03"/>
    <w:rsid w:val="00BA2DB7"/>
    <w:rsid w:val="00BA3105"/>
    <w:rsid w:val="00BA4D1B"/>
    <w:rsid w:val="00BA5770"/>
    <w:rsid w:val="00BA6044"/>
    <w:rsid w:val="00BA610D"/>
    <w:rsid w:val="00BA70C7"/>
    <w:rsid w:val="00BB1B33"/>
    <w:rsid w:val="00BB2720"/>
    <w:rsid w:val="00BB5A25"/>
    <w:rsid w:val="00BB5A84"/>
    <w:rsid w:val="00BC2D59"/>
    <w:rsid w:val="00BC74E5"/>
    <w:rsid w:val="00BD28F9"/>
    <w:rsid w:val="00BD33EF"/>
    <w:rsid w:val="00BD512E"/>
    <w:rsid w:val="00BD61B1"/>
    <w:rsid w:val="00BD6DD1"/>
    <w:rsid w:val="00BE0B3B"/>
    <w:rsid w:val="00BE4626"/>
    <w:rsid w:val="00BE57A0"/>
    <w:rsid w:val="00BE6771"/>
    <w:rsid w:val="00BF219C"/>
    <w:rsid w:val="00BF3C9A"/>
    <w:rsid w:val="00C007C3"/>
    <w:rsid w:val="00C01CA7"/>
    <w:rsid w:val="00C02998"/>
    <w:rsid w:val="00C0350D"/>
    <w:rsid w:val="00C03667"/>
    <w:rsid w:val="00C0392E"/>
    <w:rsid w:val="00C03C5E"/>
    <w:rsid w:val="00C04D38"/>
    <w:rsid w:val="00C0524E"/>
    <w:rsid w:val="00C0732E"/>
    <w:rsid w:val="00C074A7"/>
    <w:rsid w:val="00C1024C"/>
    <w:rsid w:val="00C11FFD"/>
    <w:rsid w:val="00C1211B"/>
    <w:rsid w:val="00C13063"/>
    <w:rsid w:val="00C13E8D"/>
    <w:rsid w:val="00C143AA"/>
    <w:rsid w:val="00C1624A"/>
    <w:rsid w:val="00C16956"/>
    <w:rsid w:val="00C24B44"/>
    <w:rsid w:val="00C2593C"/>
    <w:rsid w:val="00C3188A"/>
    <w:rsid w:val="00C36D55"/>
    <w:rsid w:val="00C37D10"/>
    <w:rsid w:val="00C40C33"/>
    <w:rsid w:val="00C43061"/>
    <w:rsid w:val="00C442DE"/>
    <w:rsid w:val="00C4491B"/>
    <w:rsid w:val="00C454BA"/>
    <w:rsid w:val="00C503E8"/>
    <w:rsid w:val="00C5256B"/>
    <w:rsid w:val="00C53CD9"/>
    <w:rsid w:val="00C547F1"/>
    <w:rsid w:val="00C55961"/>
    <w:rsid w:val="00C57607"/>
    <w:rsid w:val="00C60387"/>
    <w:rsid w:val="00C6155B"/>
    <w:rsid w:val="00C61AC0"/>
    <w:rsid w:val="00C63786"/>
    <w:rsid w:val="00C70843"/>
    <w:rsid w:val="00C71B7D"/>
    <w:rsid w:val="00C737C7"/>
    <w:rsid w:val="00C751AE"/>
    <w:rsid w:val="00C80131"/>
    <w:rsid w:val="00C84A30"/>
    <w:rsid w:val="00C85729"/>
    <w:rsid w:val="00C870D6"/>
    <w:rsid w:val="00C91334"/>
    <w:rsid w:val="00C93E11"/>
    <w:rsid w:val="00C94EA7"/>
    <w:rsid w:val="00CA05C9"/>
    <w:rsid w:val="00CA292E"/>
    <w:rsid w:val="00CA6555"/>
    <w:rsid w:val="00CA7FAE"/>
    <w:rsid w:val="00CB2CCF"/>
    <w:rsid w:val="00CB30BB"/>
    <w:rsid w:val="00CB37D5"/>
    <w:rsid w:val="00CB4EA1"/>
    <w:rsid w:val="00CB739F"/>
    <w:rsid w:val="00CB7B56"/>
    <w:rsid w:val="00CC153C"/>
    <w:rsid w:val="00CC2B04"/>
    <w:rsid w:val="00CC3102"/>
    <w:rsid w:val="00CC49C9"/>
    <w:rsid w:val="00CD151F"/>
    <w:rsid w:val="00CD3E6D"/>
    <w:rsid w:val="00CD4BD4"/>
    <w:rsid w:val="00CD6F01"/>
    <w:rsid w:val="00CD7BEA"/>
    <w:rsid w:val="00CE022C"/>
    <w:rsid w:val="00CE031E"/>
    <w:rsid w:val="00CE1EDD"/>
    <w:rsid w:val="00CE26BE"/>
    <w:rsid w:val="00CE46C7"/>
    <w:rsid w:val="00CE485D"/>
    <w:rsid w:val="00CE50EF"/>
    <w:rsid w:val="00CF09CA"/>
    <w:rsid w:val="00CF2195"/>
    <w:rsid w:val="00CF31B2"/>
    <w:rsid w:val="00CF5673"/>
    <w:rsid w:val="00CF5FC7"/>
    <w:rsid w:val="00CF6069"/>
    <w:rsid w:val="00D010DB"/>
    <w:rsid w:val="00D01D47"/>
    <w:rsid w:val="00D02533"/>
    <w:rsid w:val="00D02DC0"/>
    <w:rsid w:val="00D030E9"/>
    <w:rsid w:val="00D055FC"/>
    <w:rsid w:val="00D058BB"/>
    <w:rsid w:val="00D079D4"/>
    <w:rsid w:val="00D07A79"/>
    <w:rsid w:val="00D124AF"/>
    <w:rsid w:val="00D1283E"/>
    <w:rsid w:val="00D15190"/>
    <w:rsid w:val="00D161D9"/>
    <w:rsid w:val="00D16A34"/>
    <w:rsid w:val="00D178A1"/>
    <w:rsid w:val="00D17D4B"/>
    <w:rsid w:val="00D17E92"/>
    <w:rsid w:val="00D2099A"/>
    <w:rsid w:val="00D20EA7"/>
    <w:rsid w:val="00D216F2"/>
    <w:rsid w:val="00D22EF9"/>
    <w:rsid w:val="00D2345E"/>
    <w:rsid w:val="00D24E33"/>
    <w:rsid w:val="00D26770"/>
    <w:rsid w:val="00D26E04"/>
    <w:rsid w:val="00D30F3A"/>
    <w:rsid w:val="00D357D6"/>
    <w:rsid w:val="00D358B5"/>
    <w:rsid w:val="00D37594"/>
    <w:rsid w:val="00D431BC"/>
    <w:rsid w:val="00D44FA6"/>
    <w:rsid w:val="00D45C78"/>
    <w:rsid w:val="00D45F71"/>
    <w:rsid w:val="00D51BB2"/>
    <w:rsid w:val="00D5529D"/>
    <w:rsid w:val="00D56945"/>
    <w:rsid w:val="00D613DC"/>
    <w:rsid w:val="00D61D3D"/>
    <w:rsid w:val="00D61DE0"/>
    <w:rsid w:val="00D63AAE"/>
    <w:rsid w:val="00D64CC6"/>
    <w:rsid w:val="00D657F5"/>
    <w:rsid w:val="00D65D3B"/>
    <w:rsid w:val="00D6674D"/>
    <w:rsid w:val="00D67F0F"/>
    <w:rsid w:val="00D71FBC"/>
    <w:rsid w:val="00D760A4"/>
    <w:rsid w:val="00D76FC7"/>
    <w:rsid w:val="00D82A99"/>
    <w:rsid w:val="00D84475"/>
    <w:rsid w:val="00D87B6C"/>
    <w:rsid w:val="00D9006B"/>
    <w:rsid w:val="00D90DAB"/>
    <w:rsid w:val="00D93547"/>
    <w:rsid w:val="00D93F72"/>
    <w:rsid w:val="00D94CB5"/>
    <w:rsid w:val="00D95361"/>
    <w:rsid w:val="00D95E3F"/>
    <w:rsid w:val="00D970DA"/>
    <w:rsid w:val="00DA1930"/>
    <w:rsid w:val="00DA3096"/>
    <w:rsid w:val="00DA54E6"/>
    <w:rsid w:val="00DA55EE"/>
    <w:rsid w:val="00DA6D04"/>
    <w:rsid w:val="00DB3D5D"/>
    <w:rsid w:val="00DB588A"/>
    <w:rsid w:val="00DB7B6E"/>
    <w:rsid w:val="00DC249C"/>
    <w:rsid w:val="00DC3253"/>
    <w:rsid w:val="00DC4200"/>
    <w:rsid w:val="00DC4307"/>
    <w:rsid w:val="00DC4409"/>
    <w:rsid w:val="00DC533F"/>
    <w:rsid w:val="00DC5ECA"/>
    <w:rsid w:val="00DC6C46"/>
    <w:rsid w:val="00DC7C16"/>
    <w:rsid w:val="00DD269B"/>
    <w:rsid w:val="00DD3F92"/>
    <w:rsid w:val="00DD53CA"/>
    <w:rsid w:val="00DD5BDF"/>
    <w:rsid w:val="00DD6C32"/>
    <w:rsid w:val="00DD768A"/>
    <w:rsid w:val="00DE108E"/>
    <w:rsid w:val="00DE1D4D"/>
    <w:rsid w:val="00DE5B0B"/>
    <w:rsid w:val="00DE6028"/>
    <w:rsid w:val="00DE6D7C"/>
    <w:rsid w:val="00DF23DD"/>
    <w:rsid w:val="00DF64B5"/>
    <w:rsid w:val="00E0040A"/>
    <w:rsid w:val="00E004CC"/>
    <w:rsid w:val="00E027CF"/>
    <w:rsid w:val="00E05DA9"/>
    <w:rsid w:val="00E06AE0"/>
    <w:rsid w:val="00E14974"/>
    <w:rsid w:val="00E16BB5"/>
    <w:rsid w:val="00E16C54"/>
    <w:rsid w:val="00E177FA"/>
    <w:rsid w:val="00E23AC2"/>
    <w:rsid w:val="00E24AAD"/>
    <w:rsid w:val="00E24B05"/>
    <w:rsid w:val="00E30AC1"/>
    <w:rsid w:val="00E3156A"/>
    <w:rsid w:val="00E317AC"/>
    <w:rsid w:val="00E31B0F"/>
    <w:rsid w:val="00E3308E"/>
    <w:rsid w:val="00E350E7"/>
    <w:rsid w:val="00E42E56"/>
    <w:rsid w:val="00E42E58"/>
    <w:rsid w:val="00E43030"/>
    <w:rsid w:val="00E4424B"/>
    <w:rsid w:val="00E45C79"/>
    <w:rsid w:val="00E45CCA"/>
    <w:rsid w:val="00E5092F"/>
    <w:rsid w:val="00E521BE"/>
    <w:rsid w:val="00E54B97"/>
    <w:rsid w:val="00E5523D"/>
    <w:rsid w:val="00E57B3C"/>
    <w:rsid w:val="00E60721"/>
    <w:rsid w:val="00E64D6F"/>
    <w:rsid w:val="00E6660F"/>
    <w:rsid w:val="00E66D5C"/>
    <w:rsid w:val="00E67C14"/>
    <w:rsid w:val="00E72123"/>
    <w:rsid w:val="00E725A8"/>
    <w:rsid w:val="00E72738"/>
    <w:rsid w:val="00E739B7"/>
    <w:rsid w:val="00E761CC"/>
    <w:rsid w:val="00E77CFC"/>
    <w:rsid w:val="00E81BCA"/>
    <w:rsid w:val="00E83344"/>
    <w:rsid w:val="00E847C8"/>
    <w:rsid w:val="00E84AE8"/>
    <w:rsid w:val="00E96EF6"/>
    <w:rsid w:val="00EA002B"/>
    <w:rsid w:val="00EA394A"/>
    <w:rsid w:val="00EA45A0"/>
    <w:rsid w:val="00EA4B46"/>
    <w:rsid w:val="00EA5AE3"/>
    <w:rsid w:val="00EA7247"/>
    <w:rsid w:val="00EB04C4"/>
    <w:rsid w:val="00EB3422"/>
    <w:rsid w:val="00EC1BF3"/>
    <w:rsid w:val="00EC3794"/>
    <w:rsid w:val="00EC5585"/>
    <w:rsid w:val="00EC562B"/>
    <w:rsid w:val="00EC5E3D"/>
    <w:rsid w:val="00EC6642"/>
    <w:rsid w:val="00EC6B69"/>
    <w:rsid w:val="00EC6C45"/>
    <w:rsid w:val="00EC740A"/>
    <w:rsid w:val="00ED2CF3"/>
    <w:rsid w:val="00ED326D"/>
    <w:rsid w:val="00ED3747"/>
    <w:rsid w:val="00ED37C4"/>
    <w:rsid w:val="00ED5C63"/>
    <w:rsid w:val="00ED7F8C"/>
    <w:rsid w:val="00EE12BC"/>
    <w:rsid w:val="00EE46ED"/>
    <w:rsid w:val="00EE4ADF"/>
    <w:rsid w:val="00EE7FB6"/>
    <w:rsid w:val="00EF08C3"/>
    <w:rsid w:val="00EF146D"/>
    <w:rsid w:val="00EF28BC"/>
    <w:rsid w:val="00EF3D95"/>
    <w:rsid w:val="00EF5853"/>
    <w:rsid w:val="00EF7965"/>
    <w:rsid w:val="00F04ABE"/>
    <w:rsid w:val="00F10008"/>
    <w:rsid w:val="00F10C48"/>
    <w:rsid w:val="00F11064"/>
    <w:rsid w:val="00F14A1A"/>
    <w:rsid w:val="00F14F18"/>
    <w:rsid w:val="00F1545E"/>
    <w:rsid w:val="00F16FAD"/>
    <w:rsid w:val="00F21A5B"/>
    <w:rsid w:val="00F226DC"/>
    <w:rsid w:val="00F22DEE"/>
    <w:rsid w:val="00F23E9E"/>
    <w:rsid w:val="00F259A9"/>
    <w:rsid w:val="00F30CDC"/>
    <w:rsid w:val="00F3711E"/>
    <w:rsid w:val="00F439C0"/>
    <w:rsid w:val="00F4438E"/>
    <w:rsid w:val="00F446B2"/>
    <w:rsid w:val="00F511BB"/>
    <w:rsid w:val="00F51213"/>
    <w:rsid w:val="00F51B16"/>
    <w:rsid w:val="00F54D35"/>
    <w:rsid w:val="00F56CF0"/>
    <w:rsid w:val="00F5715E"/>
    <w:rsid w:val="00F5751D"/>
    <w:rsid w:val="00F575A9"/>
    <w:rsid w:val="00F57E11"/>
    <w:rsid w:val="00F60890"/>
    <w:rsid w:val="00F61BDF"/>
    <w:rsid w:val="00F62F19"/>
    <w:rsid w:val="00F63F3C"/>
    <w:rsid w:val="00F6516F"/>
    <w:rsid w:val="00F668E7"/>
    <w:rsid w:val="00F67241"/>
    <w:rsid w:val="00F67A06"/>
    <w:rsid w:val="00F700DD"/>
    <w:rsid w:val="00F70532"/>
    <w:rsid w:val="00F719B0"/>
    <w:rsid w:val="00F72BDA"/>
    <w:rsid w:val="00F74E5B"/>
    <w:rsid w:val="00F8072F"/>
    <w:rsid w:val="00F83270"/>
    <w:rsid w:val="00F844EC"/>
    <w:rsid w:val="00F853B6"/>
    <w:rsid w:val="00F86E00"/>
    <w:rsid w:val="00F87D2A"/>
    <w:rsid w:val="00F92111"/>
    <w:rsid w:val="00F92E79"/>
    <w:rsid w:val="00F95379"/>
    <w:rsid w:val="00F96707"/>
    <w:rsid w:val="00F96F92"/>
    <w:rsid w:val="00F979D9"/>
    <w:rsid w:val="00F97E69"/>
    <w:rsid w:val="00FB3E73"/>
    <w:rsid w:val="00FB7333"/>
    <w:rsid w:val="00FC1720"/>
    <w:rsid w:val="00FC30E5"/>
    <w:rsid w:val="00FC3A4D"/>
    <w:rsid w:val="00FD01B7"/>
    <w:rsid w:val="00FD16C4"/>
    <w:rsid w:val="00FD48F3"/>
    <w:rsid w:val="00FD50DD"/>
    <w:rsid w:val="00FD51BA"/>
    <w:rsid w:val="00FE1257"/>
    <w:rsid w:val="00FE250D"/>
    <w:rsid w:val="00FE2B6A"/>
    <w:rsid w:val="00FE37B1"/>
    <w:rsid w:val="00FE49BE"/>
    <w:rsid w:val="00FE77BA"/>
    <w:rsid w:val="00FF2657"/>
    <w:rsid w:val="00FF34F1"/>
    <w:rsid w:val="00FF4259"/>
    <w:rsid w:val="00FF50CB"/>
    <w:rsid w:val="00FF5B9E"/>
    <w:rsid w:val="00FF5E3D"/>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7CAA4BB-7802-4EE6-993C-E406D96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54"/>
    <w:pPr>
      <w:widowControl w:val="0"/>
      <w:autoSpaceDE w:val="0"/>
      <w:autoSpaceDN w:val="0"/>
      <w:adjustRightInd w:val="0"/>
    </w:pPr>
    <w:rPr>
      <w:sz w:val="24"/>
      <w:szCs w:val="24"/>
    </w:rPr>
  </w:style>
  <w:style w:type="paragraph" w:styleId="Heading1">
    <w:name w:val="heading 1"/>
    <w:basedOn w:val="Normal"/>
    <w:next w:val="Normal"/>
    <w:qFormat/>
    <w:rsid w:val="00780D96"/>
    <w:pPr>
      <w:keepNext/>
      <w:widowControl/>
      <w:autoSpaceDE/>
      <w:autoSpaceDN/>
      <w:adjustRightInd/>
      <w:spacing w:before="120"/>
      <w:outlineLvl w:val="0"/>
    </w:pPr>
    <w:rPr>
      <w:i/>
      <w:szCs w:val="20"/>
    </w:rPr>
  </w:style>
  <w:style w:type="paragraph" w:styleId="Heading3">
    <w:name w:val="heading 3"/>
    <w:basedOn w:val="Normal"/>
    <w:next w:val="Normal"/>
    <w:qFormat/>
    <w:rsid w:val="00780D96"/>
    <w:pPr>
      <w:keepNext/>
      <w:spacing w:before="240" w:after="60"/>
      <w:outlineLvl w:val="2"/>
    </w:pPr>
    <w:rPr>
      <w:rFonts w:ascii="Arial" w:hAnsi="Arial" w:cs="Arial"/>
      <w:b/>
      <w:bCs/>
      <w:sz w:val="26"/>
      <w:szCs w:val="26"/>
    </w:rPr>
  </w:style>
  <w:style w:type="paragraph" w:styleId="Heading5">
    <w:name w:val="heading 5"/>
    <w:basedOn w:val="Normal"/>
    <w:next w:val="Normal"/>
    <w:qFormat/>
    <w:rsid w:val="00780D96"/>
    <w:pPr>
      <w:keepNext/>
      <w:widowControl/>
      <w:autoSpaceDE/>
      <w:autoSpaceDN/>
      <w:adjustRightInd/>
      <w:spacing w:before="120"/>
      <w:outlineLvl w:val="4"/>
    </w:pPr>
    <w:rPr>
      <w:color w:val="00000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0D96"/>
    <w:pPr>
      <w:tabs>
        <w:tab w:val="center" w:pos="4320"/>
        <w:tab w:val="right" w:pos="8640"/>
      </w:tabs>
      <w:autoSpaceDE/>
      <w:autoSpaceDN/>
      <w:adjustRightInd/>
    </w:pPr>
    <w:rPr>
      <w:rFonts w:ascii="New York" w:hAnsi="New York"/>
      <w:szCs w:val="20"/>
    </w:rPr>
  </w:style>
  <w:style w:type="paragraph" w:styleId="BodyTextIndent">
    <w:name w:val="Body Text Indent"/>
    <w:basedOn w:val="Normal"/>
    <w:link w:val="BodyTextIndentChar"/>
    <w:rsid w:val="00780D96"/>
    <w:pPr>
      <w:widowControl/>
      <w:autoSpaceDE/>
      <w:autoSpaceDN/>
      <w:adjustRightInd/>
      <w:ind w:left="1440" w:hanging="1440"/>
    </w:pPr>
    <w:rPr>
      <w:color w:val="000000"/>
      <w:szCs w:val="20"/>
    </w:rPr>
  </w:style>
  <w:style w:type="paragraph" w:styleId="BodyText">
    <w:name w:val="Body Text"/>
    <w:basedOn w:val="Normal"/>
    <w:link w:val="BodyTextChar"/>
    <w:rsid w:val="00780D96"/>
    <w:pPr>
      <w:widowControl/>
      <w:autoSpaceDE/>
      <w:autoSpaceDN/>
      <w:adjustRightInd/>
      <w:spacing w:before="120"/>
    </w:pPr>
    <w:rPr>
      <w:color w:val="000000"/>
      <w:szCs w:val="20"/>
    </w:rPr>
  </w:style>
  <w:style w:type="paragraph" w:styleId="BodyText2">
    <w:name w:val="Body Text 2"/>
    <w:basedOn w:val="Normal"/>
    <w:link w:val="BodyText2Char"/>
    <w:rsid w:val="00780D96"/>
    <w:pPr>
      <w:widowControl/>
      <w:autoSpaceDE/>
      <w:autoSpaceDN/>
      <w:adjustRightInd/>
      <w:spacing w:before="120"/>
      <w:jc w:val="both"/>
    </w:pPr>
    <w:rPr>
      <w:szCs w:val="20"/>
    </w:rPr>
  </w:style>
  <w:style w:type="character" w:styleId="PageNumber">
    <w:name w:val="page number"/>
    <w:basedOn w:val="DefaultParagraphFont"/>
    <w:rsid w:val="00780D96"/>
  </w:style>
  <w:style w:type="table" w:styleId="TableGrid">
    <w:name w:val="Table Grid"/>
    <w:basedOn w:val="TableNormal"/>
    <w:rsid w:val="00780D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80D96"/>
    <w:rPr>
      <w:sz w:val="20"/>
      <w:szCs w:val="20"/>
    </w:rPr>
  </w:style>
  <w:style w:type="character" w:styleId="FootnoteReference">
    <w:name w:val="footnote reference"/>
    <w:semiHidden/>
    <w:rsid w:val="00780D96"/>
    <w:rPr>
      <w:vertAlign w:val="superscript"/>
    </w:rPr>
  </w:style>
  <w:style w:type="paragraph" w:styleId="Header">
    <w:name w:val="header"/>
    <w:basedOn w:val="Normal"/>
    <w:rsid w:val="00B24180"/>
    <w:pPr>
      <w:tabs>
        <w:tab w:val="center" w:pos="4320"/>
        <w:tab w:val="right" w:pos="8640"/>
      </w:tabs>
    </w:pPr>
  </w:style>
  <w:style w:type="character" w:customStyle="1" w:styleId="BodyText2Char">
    <w:name w:val="Body Text 2 Char"/>
    <w:link w:val="BodyText2"/>
    <w:rsid w:val="005C1BE1"/>
    <w:rPr>
      <w:sz w:val="24"/>
    </w:rPr>
  </w:style>
  <w:style w:type="paragraph" w:styleId="ListParagraph">
    <w:name w:val="List Paragraph"/>
    <w:basedOn w:val="Normal"/>
    <w:uiPriority w:val="34"/>
    <w:qFormat/>
    <w:rsid w:val="00A8431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444902"/>
    <w:rPr>
      <w:color w:val="000000"/>
      <w:sz w:val="24"/>
    </w:rPr>
  </w:style>
  <w:style w:type="character" w:customStyle="1" w:styleId="BodyTextChar">
    <w:name w:val="Body Text Char"/>
    <w:link w:val="BodyText"/>
    <w:rsid w:val="00B41554"/>
    <w:rPr>
      <w:color w:val="000000"/>
      <w:sz w:val="24"/>
    </w:rPr>
  </w:style>
  <w:style w:type="paragraph" w:styleId="NormalWeb">
    <w:name w:val="Normal (Web)"/>
    <w:basedOn w:val="Normal"/>
    <w:uiPriority w:val="99"/>
    <w:unhideWhenUsed/>
    <w:rsid w:val="007C1AA4"/>
    <w:pPr>
      <w:widowControl/>
      <w:autoSpaceDE/>
      <w:autoSpaceDN/>
      <w:adjustRightInd/>
      <w:spacing w:before="100" w:beforeAutospacing="1" w:after="100" w:afterAutospacing="1"/>
    </w:pPr>
  </w:style>
  <w:style w:type="paragraph" w:styleId="BalloonText">
    <w:name w:val="Balloon Text"/>
    <w:basedOn w:val="Normal"/>
    <w:link w:val="BalloonTextChar"/>
    <w:rsid w:val="0061094F"/>
    <w:rPr>
      <w:rFonts w:ascii="Segoe UI" w:hAnsi="Segoe UI" w:cs="Segoe UI"/>
      <w:sz w:val="18"/>
      <w:szCs w:val="18"/>
    </w:rPr>
  </w:style>
  <w:style w:type="character" w:customStyle="1" w:styleId="BalloonTextChar">
    <w:name w:val="Balloon Text Char"/>
    <w:link w:val="BalloonText"/>
    <w:rsid w:val="0061094F"/>
    <w:rPr>
      <w:rFonts w:ascii="Segoe UI" w:hAnsi="Segoe UI" w:cs="Segoe UI"/>
      <w:sz w:val="18"/>
      <w:szCs w:val="18"/>
    </w:rPr>
  </w:style>
  <w:style w:type="table" w:customStyle="1" w:styleId="TableGrid1">
    <w:name w:val="Table Grid1"/>
    <w:basedOn w:val="TableNormal"/>
    <w:next w:val="TableGrid"/>
    <w:uiPriority w:val="39"/>
    <w:rsid w:val="003434C9"/>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3BCD-98F2-441F-AFBF-2A3BCF79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1058</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HCRC</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Bill Hoshijo</dc:creator>
  <cp:keywords/>
  <cp:lastModifiedBy>Terri M. Maeda</cp:lastModifiedBy>
  <cp:revision>3</cp:revision>
  <cp:lastPrinted>2019-06-12T19:32:00Z</cp:lastPrinted>
  <dcterms:created xsi:type="dcterms:W3CDTF">2019-10-28T21:16:00Z</dcterms:created>
  <dcterms:modified xsi:type="dcterms:W3CDTF">2019-10-28T21:30:00Z</dcterms:modified>
</cp:coreProperties>
</file>